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32E" w:rsidRDefault="009E132E" w:rsidP="009E132E">
      <w:pPr>
        <w:pStyle w:val="a5"/>
        <w:widowControl/>
        <w:spacing w:beforeAutospacing="0" w:afterAutospacing="0" w:line="450" w:lineRule="atLeast"/>
        <w:rPr>
          <w:rFonts w:ascii="仿宋" w:eastAsia="仿宋" w:hAnsi="仿宋" w:cs="仿宋" w:hint="eastAsia"/>
          <w:b/>
          <w:color w:val="000000"/>
          <w:shd w:val="clear" w:color="auto" w:fill="FFFFFF"/>
        </w:rPr>
      </w:pPr>
    </w:p>
    <w:p w:rsidR="009E132E" w:rsidRDefault="009E132E" w:rsidP="009E132E">
      <w:pPr>
        <w:pStyle w:val="a5"/>
        <w:widowControl/>
        <w:spacing w:beforeAutospacing="0" w:afterAutospacing="0" w:line="450" w:lineRule="atLeast"/>
      </w:pPr>
      <w:r>
        <w:rPr>
          <w:rFonts w:ascii="仿宋" w:eastAsia="仿宋" w:hAnsi="仿宋" w:cs="仿宋" w:hint="eastAsia"/>
          <w:b/>
          <w:color w:val="000000"/>
          <w:shd w:val="clear" w:color="auto" w:fill="FFFFFF"/>
        </w:rPr>
        <w:t>附件：</w:t>
      </w:r>
    </w:p>
    <w:p w:rsidR="009E132E" w:rsidRDefault="009E132E" w:rsidP="009E132E">
      <w:pPr>
        <w:pStyle w:val="a5"/>
        <w:widowControl/>
        <w:spacing w:beforeAutospacing="0" w:afterAutospacing="0" w:line="450" w:lineRule="atLeast"/>
      </w:pPr>
      <w:r>
        <w:rPr>
          <w:rFonts w:ascii="仿宋" w:eastAsia="仿宋" w:hAnsi="仿宋" w:cs="仿宋" w:hint="eastAsia"/>
          <w:color w:val="000000"/>
          <w:shd w:val="clear" w:color="auto" w:fill="FFFFFF"/>
        </w:rPr>
        <w:t>1、</w:t>
      </w:r>
      <w:r>
        <w:rPr>
          <w:rFonts w:ascii="仿宋" w:eastAsia="仿宋" w:hAnsi="仿宋" w:cs="仿宋" w:hint="eastAsia"/>
          <w:b/>
          <w:color w:val="000000"/>
          <w:shd w:val="clear" w:color="auto" w:fill="FFFFFF"/>
        </w:rPr>
        <w:t>患者服务中心招商评分细则</w:t>
      </w:r>
      <w:bookmarkStart w:id="0" w:name="_GoBack"/>
      <w:bookmarkEnd w:id="0"/>
    </w:p>
    <w:tbl>
      <w:tblPr>
        <w:tblW w:w="9881" w:type="dxa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1"/>
        <w:gridCol w:w="1685"/>
        <w:gridCol w:w="919"/>
        <w:gridCol w:w="4749"/>
        <w:gridCol w:w="1917"/>
      </w:tblGrid>
      <w:tr w:rsidR="009E132E" w:rsidTr="007518F4">
        <w:trPr>
          <w:trHeight w:val="650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widowControl/>
              <w:spacing w:line="280" w:lineRule="atLeast"/>
              <w:jc w:val="left"/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/>
              </w:rPr>
              <w:t>序号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widowControl/>
              <w:spacing w:line="320" w:lineRule="atLeast"/>
              <w:jc w:val="left"/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/>
              </w:rPr>
              <w:t>评分因素及权重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widowControl/>
              <w:spacing w:line="320" w:lineRule="atLeast"/>
              <w:jc w:val="left"/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/>
              </w:rPr>
              <w:t>分 值</w:t>
            </w:r>
          </w:p>
        </w:tc>
        <w:tc>
          <w:tcPr>
            <w:tcW w:w="4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widowControl/>
              <w:spacing w:line="320" w:lineRule="atLeast"/>
              <w:ind w:firstLine="270"/>
              <w:jc w:val="center"/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/>
              </w:rPr>
              <w:t>评 分 标 准</w:t>
            </w:r>
          </w:p>
        </w:tc>
        <w:tc>
          <w:tcPr>
            <w:tcW w:w="1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widowControl/>
              <w:spacing w:line="320" w:lineRule="atLeast"/>
              <w:ind w:firstLine="270"/>
              <w:jc w:val="center"/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/>
              </w:rPr>
              <w:t>说  明</w:t>
            </w:r>
          </w:p>
        </w:tc>
      </w:tr>
      <w:tr w:rsidR="009E132E" w:rsidTr="007518F4">
        <w:trPr>
          <w:trHeight w:val="402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widowControl/>
              <w:spacing w:line="320" w:lineRule="atLeast"/>
              <w:ind w:firstLine="270"/>
              <w:jc w:val="left"/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widowControl/>
              <w:spacing w:line="32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资质、业绩、财务状况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widowControl/>
              <w:spacing w:line="32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13分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widowControl/>
              <w:spacing w:line="32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资质合法有效得5分；2015、2016年财务财务状况良好得5分；提供一个近似业绩得1分，最多得3分。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widowControl/>
              <w:spacing w:line="320" w:lineRule="atLeast"/>
              <w:ind w:left="-38" w:firstLine="27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以财务报表、合同、中标通知书为准。</w:t>
            </w:r>
          </w:p>
        </w:tc>
      </w:tr>
      <w:tr w:rsidR="009E132E" w:rsidTr="007518F4">
        <w:trPr>
          <w:trHeight w:val="402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widowControl/>
              <w:spacing w:line="320" w:lineRule="atLeast"/>
              <w:ind w:firstLine="270"/>
              <w:jc w:val="left"/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widowControl/>
              <w:spacing w:line="320" w:lineRule="atLeast"/>
              <w:ind w:left="360" w:hanging="36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施工组织方案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widowControl/>
              <w:spacing w:line="32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15分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widowControl/>
              <w:spacing w:line="36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施工组织方案资料规范，操作性强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widowControl/>
              <w:spacing w:line="320" w:lineRule="atLeast"/>
              <w:ind w:firstLine="27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 </w:t>
            </w:r>
          </w:p>
        </w:tc>
      </w:tr>
      <w:tr w:rsidR="009E132E" w:rsidTr="007518F4">
        <w:trPr>
          <w:trHeight w:val="761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widowControl/>
              <w:spacing w:line="320" w:lineRule="atLeast"/>
              <w:ind w:firstLine="270"/>
              <w:jc w:val="left"/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widowControl/>
              <w:spacing w:line="320" w:lineRule="atLeast"/>
              <w:ind w:left="-1445" w:firstLine="27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工期个施工组 工期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widowControl/>
              <w:spacing w:line="32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30分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widowControl/>
              <w:spacing w:line="360" w:lineRule="atLeast"/>
              <w:jc w:val="left"/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/>
              </w:rPr>
              <w:t>工期40天为满分，每延长1天扣1分，扣完为止。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 </w:t>
            </w:r>
          </w:p>
        </w:tc>
      </w:tr>
      <w:tr w:rsidR="009E132E" w:rsidTr="007518F4">
        <w:trPr>
          <w:trHeight w:val="1022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widowControl/>
              <w:spacing w:line="320" w:lineRule="atLeast"/>
              <w:ind w:firstLine="270"/>
              <w:jc w:val="left"/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widowControl/>
              <w:spacing w:line="32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合作期限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widowControl/>
              <w:spacing w:line="32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42分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widowControl/>
              <w:spacing w:line="32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合作期限10年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/>
              </w:rPr>
              <w:t>得35分，每减少半年加1分，最多加7分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widowControl/>
              <w:spacing w:line="320" w:lineRule="atLeast"/>
              <w:ind w:firstLine="27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 </w:t>
            </w:r>
          </w:p>
        </w:tc>
      </w:tr>
    </w:tbl>
    <w:p w:rsidR="009E132E" w:rsidRDefault="009E132E" w:rsidP="009E132E">
      <w:pPr>
        <w:pStyle w:val="a5"/>
        <w:widowControl/>
        <w:spacing w:beforeAutospacing="0" w:afterAutospacing="0" w:line="450" w:lineRule="atLeast"/>
        <w:rPr>
          <w:rFonts w:ascii="仿宋" w:eastAsia="仿宋" w:hAnsi="仿宋" w:cs="仿宋"/>
          <w:b/>
          <w:bCs/>
          <w:color w:val="000000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  <w:shd w:val="clear" w:color="auto" w:fill="FFFFFF"/>
        </w:rPr>
        <w:t> 2、</w:t>
      </w:r>
      <w:r>
        <w:rPr>
          <w:rFonts w:ascii="仿宋" w:eastAsia="仿宋" w:hAnsi="仿宋" w:cs="仿宋" w:hint="eastAsia"/>
          <w:b/>
          <w:bCs/>
          <w:color w:val="000000"/>
          <w:shd w:val="clear" w:color="auto" w:fill="FFFFFF"/>
        </w:rPr>
        <w:t>建筑装饰效果图</w:t>
      </w:r>
    </w:p>
    <w:p w:rsidR="009E132E" w:rsidRDefault="009E132E" w:rsidP="009E132E">
      <w:pPr>
        <w:pStyle w:val="a5"/>
        <w:widowControl/>
        <w:spacing w:beforeAutospacing="0" w:afterAutospacing="0" w:line="450" w:lineRule="atLeast"/>
        <w:rPr>
          <w:rFonts w:ascii="仿宋" w:eastAsia="仿宋" w:hAnsi="仿宋" w:cs="仿宋"/>
          <w:color w:val="000000"/>
          <w:shd w:val="clear" w:color="auto" w:fill="FFFFFF"/>
        </w:rPr>
      </w:pPr>
      <w:r>
        <w:rPr>
          <w:rFonts w:ascii="仿宋" w:eastAsia="仿宋" w:hAnsi="仿宋" w:cs="仿宋" w:hint="eastAsia"/>
          <w:noProof/>
          <w:color w:val="000000"/>
          <w:shd w:val="clear" w:color="auto" w:fill="FFFFFF"/>
        </w:rPr>
        <w:drawing>
          <wp:inline distT="0" distB="0" distL="114300" distR="114300">
            <wp:extent cx="5864225" cy="1935480"/>
            <wp:effectExtent l="0" t="0" r="3175" b="7620"/>
            <wp:docPr id="2" name="图片 2" descr="方案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方案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64225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32E" w:rsidRDefault="009E132E" w:rsidP="009E132E">
      <w:pPr>
        <w:pStyle w:val="a5"/>
        <w:widowControl/>
        <w:spacing w:beforeAutospacing="0" w:afterAutospacing="0" w:line="450" w:lineRule="atLeast"/>
        <w:rPr>
          <w:rFonts w:ascii="仿宋" w:eastAsia="仿宋" w:hAnsi="仿宋" w:cs="仿宋"/>
          <w:color w:val="000000"/>
          <w:shd w:val="clear" w:color="auto" w:fill="FFFFFF"/>
        </w:rPr>
      </w:pPr>
    </w:p>
    <w:p w:rsidR="009E132E" w:rsidRDefault="009E132E" w:rsidP="009E132E">
      <w:pPr>
        <w:pStyle w:val="a5"/>
        <w:widowControl/>
        <w:spacing w:beforeAutospacing="0" w:afterAutospacing="0" w:line="450" w:lineRule="atLeast"/>
        <w:rPr>
          <w:rFonts w:ascii="仿宋" w:eastAsia="仿宋" w:hAnsi="仿宋" w:cs="仿宋"/>
          <w:color w:val="000000"/>
          <w:shd w:val="clear" w:color="auto" w:fill="FFFFFF"/>
        </w:rPr>
      </w:pPr>
      <w:r>
        <w:rPr>
          <w:rFonts w:ascii="仿宋" w:eastAsia="仿宋" w:hAnsi="仿宋" w:cs="仿宋" w:hint="eastAsia"/>
          <w:noProof/>
          <w:color w:val="000000"/>
          <w:shd w:val="clear" w:color="auto" w:fill="FFFFFF"/>
        </w:rPr>
        <w:drawing>
          <wp:inline distT="0" distB="0" distL="114300" distR="114300">
            <wp:extent cx="6022975" cy="2270760"/>
            <wp:effectExtent l="0" t="0" r="15875" b="15240"/>
            <wp:docPr id="4" name="图片 4" descr="单体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单体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22975" cy="227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32E" w:rsidRDefault="009E132E" w:rsidP="009E132E">
      <w:pPr>
        <w:pStyle w:val="a5"/>
        <w:widowControl/>
        <w:spacing w:beforeAutospacing="0" w:afterAutospacing="0" w:line="450" w:lineRule="atLeast"/>
        <w:jc w:val="center"/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 </w:t>
      </w:r>
      <w:r>
        <w:rPr>
          <w:rFonts w:ascii="仿宋" w:eastAsia="仿宋" w:hAnsi="仿宋" w:cs="仿宋" w:hint="eastAsia"/>
          <w:noProof/>
          <w:color w:val="000000"/>
          <w:sz w:val="30"/>
          <w:szCs w:val="30"/>
          <w:shd w:val="clear" w:color="auto" w:fill="FFFFFF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E132E" w:rsidRDefault="009E132E" w:rsidP="009E132E">
      <w:pPr>
        <w:pStyle w:val="a5"/>
        <w:widowControl/>
        <w:spacing w:beforeAutospacing="0" w:afterAutospacing="0" w:line="450" w:lineRule="atLeast"/>
      </w:pPr>
      <w:r>
        <w:rPr>
          <w:rFonts w:ascii="仿宋" w:eastAsia="仿宋" w:hAnsi="仿宋" w:cs="仿宋" w:hint="eastAsia"/>
          <w:color w:val="000000"/>
          <w:shd w:val="clear" w:color="auto" w:fill="FFFFFF"/>
        </w:rPr>
        <w:t>3、</w:t>
      </w:r>
      <w:r>
        <w:rPr>
          <w:rFonts w:ascii="仿宋" w:eastAsia="仿宋" w:hAnsi="仿宋" w:cs="仿宋" w:hint="eastAsia"/>
          <w:b/>
          <w:color w:val="000000"/>
          <w:shd w:val="clear" w:color="auto" w:fill="FFFFFF"/>
        </w:rPr>
        <w:t>工程量清单</w:t>
      </w:r>
    </w:p>
    <w:p w:rsidR="009E132E" w:rsidRDefault="009E132E" w:rsidP="009E132E">
      <w:pPr>
        <w:pStyle w:val="a5"/>
        <w:widowControl/>
        <w:spacing w:beforeAutospacing="0" w:afterAutospacing="0" w:line="450" w:lineRule="atLeast"/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lastRenderedPageBreak/>
        <w:t> </w:t>
      </w:r>
    </w:p>
    <w:tbl>
      <w:tblPr>
        <w:tblW w:w="9390" w:type="dxa"/>
        <w:tblInd w:w="96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8"/>
        <w:gridCol w:w="1780"/>
        <w:gridCol w:w="720"/>
        <w:gridCol w:w="880"/>
        <w:gridCol w:w="5612"/>
      </w:tblGrid>
      <w:tr w:rsidR="009E132E" w:rsidTr="007518F4">
        <w:trPr>
          <w:trHeight w:val="679"/>
        </w:trPr>
        <w:tc>
          <w:tcPr>
            <w:tcW w:w="93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pStyle w:val="a5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巴中市中心医院南坝院区患者服务中心工程量清单（仅供参考）</w:t>
            </w:r>
          </w:p>
        </w:tc>
      </w:tr>
      <w:tr w:rsidR="009E132E" w:rsidTr="007518F4">
        <w:trPr>
          <w:trHeight w:val="679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pStyle w:val="a5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序号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pStyle w:val="a5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项目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pStyle w:val="a5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单位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pStyle w:val="a5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预估工程量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pStyle w:val="a5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备注</w:t>
            </w:r>
          </w:p>
        </w:tc>
      </w:tr>
      <w:tr w:rsidR="009E132E" w:rsidTr="007518F4">
        <w:trPr>
          <w:trHeight w:val="679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pStyle w:val="a5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pStyle w:val="a5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地勘及项目前期工作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pStyle w:val="a5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　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pStyle w:val="a5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　1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pStyle w:val="a5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现场自行踏勘</w:t>
            </w:r>
          </w:p>
        </w:tc>
      </w:tr>
      <w:tr w:rsidR="009E132E" w:rsidTr="007518F4">
        <w:trPr>
          <w:trHeight w:val="679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pStyle w:val="a5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pStyle w:val="a5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建筑设计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pStyle w:val="a5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平米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pStyle w:val="a5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1400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pStyle w:val="a5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由正规设计单位进行建筑土建、给排水、强弱电、消防、暖通、内外装饰工程设计，设计资质不低于建筑设计乙级资质。</w:t>
            </w:r>
          </w:p>
        </w:tc>
      </w:tr>
      <w:tr w:rsidR="009E132E" w:rsidTr="007518F4">
        <w:trPr>
          <w:trHeight w:val="679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pStyle w:val="a5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pStyle w:val="a5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土建工程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pStyle w:val="a5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平米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pStyle w:val="a5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1400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pStyle w:val="a5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按正规设计图纸施工，包括地梁开挖、地梁及桩基础施工、填充墙及女儿墙施工、内外墙体抹灰。</w:t>
            </w:r>
          </w:p>
        </w:tc>
      </w:tr>
      <w:tr w:rsidR="009E132E" w:rsidTr="007518F4">
        <w:trPr>
          <w:trHeight w:val="679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pStyle w:val="a5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pStyle w:val="a5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显框幕墙工程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pStyle w:val="a5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平米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pStyle w:val="a5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48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pStyle w:val="a5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中空玻璃（6+9A+6），镀膜色泽业主指定，龙骨及框架型材详设计。</w:t>
            </w:r>
          </w:p>
        </w:tc>
      </w:tr>
      <w:tr w:rsidR="009E132E" w:rsidTr="007518F4">
        <w:trPr>
          <w:trHeight w:val="679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pStyle w:val="a5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pStyle w:val="a5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干挂花岗石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pStyle w:val="a5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平米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pStyle w:val="a5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185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pStyle w:val="a5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3CM厚干挂花岗石，色泽由业主指定；主龙骨5#槽钢，次龙骨L50*50*5镀锌角钢。</w:t>
            </w:r>
          </w:p>
        </w:tc>
      </w:tr>
      <w:tr w:rsidR="009E132E" w:rsidTr="007518F4">
        <w:trPr>
          <w:trHeight w:val="679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pStyle w:val="a5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pStyle w:val="a5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中空合金窗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pStyle w:val="a5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平米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pStyle w:val="a5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312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pStyle w:val="a5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中空合金窗，色泽及型材厚度由业主指定。</w:t>
            </w:r>
          </w:p>
        </w:tc>
      </w:tr>
      <w:tr w:rsidR="009E132E" w:rsidTr="007518F4">
        <w:trPr>
          <w:trHeight w:val="756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pStyle w:val="a5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pStyle w:val="a5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合金双扇平开门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pStyle w:val="a5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套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pStyle w:val="a5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pStyle w:val="a5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2200*1800合金双扇平开门.</w:t>
            </w:r>
          </w:p>
        </w:tc>
      </w:tr>
      <w:tr w:rsidR="009E132E" w:rsidTr="007518F4">
        <w:trPr>
          <w:trHeight w:val="679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pStyle w:val="a5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pStyle w:val="a5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外墙彩石漆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pStyle w:val="a5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平米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pStyle w:val="a5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374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pStyle w:val="a5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色泽由业主指定。</w:t>
            </w:r>
          </w:p>
        </w:tc>
      </w:tr>
      <w:tr w:rsidR="009E132E" w:rsidTr="007518F4">
        <w:trPr>
          <w:trHeight w:val="679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pStyle w:val="a5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pStyle w:val="a5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屋面防水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pStyle w:val="a5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平米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pStyle w:val="a5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1400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pStyle w:val="a5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丙烯酸屋面防水涂料。</w:t>
            </w:r>
          </w:p>
        </w:tc>
      </w:tr>
      <w:tr w:rsidR="009E132E" w:rsidTr="007518F4">
        <w:trPr>
          <w:trHeight w:val="679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pStyle w:val="a5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pStyle w:val="a5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强弱电布置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pStyle w:val="a5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平米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pStyle w:val="a5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1400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pStyle w:val="a5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含低压主电缆（从现一期项目搭接负荷）</w:t>
            </w:r>
          </w:p>
        </w:tc>
      </w:tr>
      <w:tr w:rsidR="009E132E" w:rsidTr="007518F4">
        <w:trPr>
          <w:trHeight w:val="679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pStyle w:val="a5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pStyle w:val="a5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给排水工程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pStyle w:val="a5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平米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pStyle w:val="a5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1400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pStyle w:val="a5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与市政或院区主干网联通</w:t>
            </w:r>
          </w:p>
        </w:tc>
      </w:tr>
      <w:tr w:rsidR="009E132E" w:rsidTr="007518F4">
        <w:trPr>
          <w:trHeight w:val="679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pStyle w:val="a5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pStyle w:val="a5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消防工程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pStyle w:val="a5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平米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pStyle w:val="a5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1400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pStyle w:val="a5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符合最新消防规范</w:t>
            </w:r>
          </w:p>
        </w:tc>
      </w:tr>
      <w:tr w:rsidR="009E132E" w:rsidTr="007518F4">
        <w:trPr>
          <w:trHeight w:val="679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pStyle w:val="a5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pStyle w:val="a5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暖通工程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pStyle w:val="a5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平米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pStyle w:val="a5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1400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pStyle w:val="a5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符合设计要求</w:t>
            </w:r>
          </w:p>
        </w:tc>
      </w:tr>
      <w:tr w:rsidR="009E132E" w:rsidTr="007518F4">
        <w:trPr>
          <w:trHeight w:val="679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pStyle w:val="a5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pStyle w:val="a5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室内装饰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pStyle w:val="a5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平米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pStyle w:val="a5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1400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pStyle w:val="a5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色泽由业主指定。</w:t>
            </w:r>
          </w:p>
        </w:tc>
      </w:tr>
      <w:tr w:rsidR="009E132E" w:rsidTr="007518F4">
        <w:trPr>
          <w:trHeight w:val="579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pStyle w:val="a5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pStyle w:val="a5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其他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pStyle w:val="a5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pStyle w:val="a5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　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32E" w:rsidRDefault="009E132E" w:rsidP="007518F4">
            <w:pPr>
              <w:pStyle w:val="a5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街面修复、建筑物周围5米范围总坪等</w:t>
            </w:r>
          </w:p>
        </w:tc>
      </w:tr>
    </w:tbl>
    <w:p w:rsidR="009E132E" w:rsidRDefault="009E132E" w:rsidP="009E132E"/>
    <w:p w:rsidR="00FB005C" w:rsidRPr="009E132E" w:rsidRDefault="00FB005C"/>
    <w:sectPr w:rsidR="00FB005C" w:rsidRPr="009E132E" w:rsidSect="009E0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05C" w:rsidRDefault="00FB005C" w:rsidP="009E132E">
      <w:r>
        <w:separator/>
      </w:r>
    </w:p>
  </w:endnote>
  <w:endnote w:type="continuationSeparator" w:id="1">
    <w:p w:rsidR="00FB005C" w:rsidRDefault="00FB005C" w:rsidP="009E1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05C" w:rsidRDefault="00FB005C" w:rsidP="009E132E">
      <w:r>
        <w:separator/>
      </w:r>
    </w:p>
  </w:footnote>
  <w:footnote w:type="continuationSeparator" w:id="1">
    <w:p w:rsidR="00FB005C" w:rsidRDefault="00FB005C" w:rsidP="009E13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132E"/>
    <w:rsid w:val="009E132E"/>
    <w:rsid w:val="00FB0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32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13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13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13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132E"/>
    <w:rPr>
      <w:sz w:val="18"/>
      <w:szCs w:val="18"/>
    </w:rPr>
  </w:style>
  <w:style w:type="paragraph" w:styleId="a5">
    <w:name w:val="Normal (Web)"/>
    <w:basedOn w:val="a"/>
    <w:rsid w:val="009E132E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9E132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E13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NUL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758</Characters>
  <Application>Microsoft Office Word</Application>
  <DocSecurity>0</DocSecurity>
  <Lines>6</Lines>
  <Paragraphs>1</Paragraphs>
  <ScaleCrop>false</ScaleCrop>
  <Company>Win10NeT.COM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2017-10-24T07:42:00Z</dcterms:created>
  <dcterms:modified xsi:type="dcterms:W3CDTF">2017-10-24T07:42:00Z</dcterms:modified>
</cp:coreProperties>
</file>