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附件: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巴中市中心医院南坝院区停车场对外招商评分标准</w:t>
      </w:r>
    </w:p>
    <w:p>
      <w:pPr>
        <w:widowControl/>
        <w:spacing w:line="440" w:lineRule="exac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</w:p>
    <w:tbl>
      <w:tblPr>
        <w:tblStyle w:val="3"/>
        <w:tblW w:w="9095" w:type="dxa"/>
        <w:tblInd w:w="-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440"/>
        <w:gridCol w:w="720"/>
        <w:gridCol w:w="6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评分内容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分值</w:t>
            </w:r>
          </w:p>
        </w:tc>
        <w:tc>
          <w:tcPr>
            <w:tcW w:w="6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经营资质（5分）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公司资质</w:t>
            </w:r>
          </w:p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认证与信誉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5分</w:t>
            </w:r>
          </w:p>
        </w:tc>
        <w:tc>
          <w:tcPr>
            <w:tcW w:w="6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1.资质合法有效得2分，无不得分；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2.近三年财务状况良好得2分，一般得1.5分，差不得分；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3.近三年有纳税证明得1分，无不得分；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（以上须提供相关证书资料复印件加盖鲜章，原件备查）。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施工设计与现场陈述（40分）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经营理念</w:t>
            </w:r>
          </w:p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及经营优势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5分</w:t>
            </w:r>
          </w:p>
        </w:tc>
        <w:tc>
          <w:tcPr>
            <w:tcW w:w="6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left="270" w:hanging="270" w:hangingChars="1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1、建设设计合理得2分（含标示标牌、监控设施等），不合理不得分；</w:t>
            </w:r>
          </w:p>
          <w:p>
            <w:pPr>
              <w:spacing w:line="30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3、着装规范，挂牌上岗，文明用语，热情服务得1分；</w:t>
            </w:r>
          </w:p>
          <w:p>
            <w:pPr>
              <w:spacing w:line="30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4、有投诉电话反映意见的渠道，处理及反馈流程，得1分；</w:t>
            </w:r>
          </w:p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5、现场陈述，经营理念科学，优势独特得1分，差不得分。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施工设计</w:t>
            </w:r>
          </w:p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施工组织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25分</w:t>
            </w:r>
          </w:p>
        </w:tc>
        <w:tc>
          <w:tcPr>
            <w:tcW w:w="6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left="270" w:hanging="270" w:hangingChars="1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现场混凝土按 C30厚15cm  得 20  分</w:t>
            </w:r>
          </w:p>
          <w:p>
            <w:pPr>
              <w:spacing w:line="300" w:lineRule="exact"/>
              <w:ind w:left="270" w:hanging="270" w:hangingChars="1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现场混凝土按 C30厚10cm  得 15分</w:t>
            </w:r>
          </w:p>
          <w:p>
            <w:pPr>
              <w:spacing w:line="300" w:lineRule="exact"/>
              <w:ind w:left="270" w:hanging="270" w:hangingChars="1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现场混凝土按 C25厚15cm  得 10  分</w:t>
            </w:r>
          </w:p>
          <w:p>
            <w:pPr>
              <w:spacing w:line="300" w:lineRule="exact"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现场混凝土按 C25厚10cm  得  5 分</w:t>
            </w:r>
          </w:p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直升飞机库建设方案：优得5分，良3分，一般  2分</w:t>
            </w:r>
          </w:p>
          <w:p>
            <w:pPr>
              <w:spacing w:line="300" w:lineRule="exact"/>
              <w:ind w:firstLine="360" w:firstLineChars="20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安全管理制度</w:t>
            </w:r>
          </w:p>
          <w:p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5分</w:t>
            </w:r>
          </w:p>
        </w:tc>
        <w:tc>
          <w:tcPr>
            <w:tcW w:w="6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1、停车场管理制度、职责健全完善得2分；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2、严格执行员工培训上岗得2分；</w:t>
            </w:r>
          </w:p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3、有停车场安全管理标准、控制措施得1分；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应急预案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5分</w:t>
            </w:r>
          </w:p>
        </w:tc>
        <w:tc>
          <w:tcPr>
            <w:tcW w:w="6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对投资人紧急事件的处理预案（车辆碰撞、擦挂以及消防安全责任事故等）的具体、全面、可行性进行综合评价，优得5分，良得2分，差不得分。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9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承包费（50分）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FFFFFF" w:fill="D9D9D9"/>
              </w:rPr>
              <w:t>经营结余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50分</w:t>
            </w:r>
          </w:p>
        </w:tc>
        <w:tc>
          <w:tcPr>
            <w:tcW w:w="6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60" w:firstLineChars="200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根据投资人提供的缴纳年管理费用金额，40万得40分，每超过1万得1分，低于40万不得分。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/>
    <w:p>
      <w:pPr>
        <w:widowControl/>
        <w:shd w:val="clear" w:color="auto" w:fill="FFFFFF"/>
        <w:spacing w:line="580" w:lineRule="atLeast"/>
        <w:ind w:firstLine="530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0E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2018-07-24T12:43:49Z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