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附件2</w:t>
      </w:r>
    </w:p>
    <w:p>
      <w:pPr>
        <w:spacing w:line="56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lang w:val="en-US" w:eastAsia="zh-CN"/>
        </w:rPr>
        <w:t>巴中市中心医院</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纸质病案数字化扫描服务采购项目</w:t>
      </w:r>
    </w:p>
    <w:p>
      <w:pPr>
        <w:spacing w:line="56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rPr>
        <w:t>招标</w:t>
      </w:r>
      <w:r>
        <w:rPr>
          <w:rFonts w:hint="eastAsia" w:ascii="方正小标宋简体" w:hAnsi="宋体" w:eastAsia="方正小标宋简体"/>
          <w:color w:val="000000"/>
          <w:sz w:val="44"/>
          <w:szCs w:val="44"/>
          <w:lang w:eastAsia="zh-CN"/>
        </w:rPr>
        <w:t>综合评分表</w:t>
      </w:r>
    </w:p>
    <w:p>
      <w:pPr>
        <w:spacing w:after="0" w:line="360" w:lineRule="auto"/>
        <w:ind w:firstLine="28"/>
        <w:jc w:val="center"/>
        <w:rPr>
          <w:rFonts w:hint="eastAsia" w:ascii="仿宋" w:hAnsi="仿宋" w:eastAsia="仿宋" w:cs="仿宋"/>
          <w:b/>
          <w:bCs/>
          <w:color w:val="000000"/>
          <w:kern w:val="0"/>
          <w:sz w:val="24"/>
        </w:rPr>
      </w:pPr>
    </w:p>
    <w:p>
      <w:pPr>
        <w:spacing w:after="0" w:line="360" w:lineRule="auto"/>
        <w:ind w:firstLine="28"/>
        <w:jc w:val="center"/>
        <w:rPr>
          <w:rFonts w:hint="eastAsia" w:ascii="仿宋" w:hAnsi="仿宋" w:eastAsia="仿宋" w:cs="仿宋"/>
          <w:b/>
          <w:bCs/>
          <w:color w:val="000000"/>
          <w:kern w:val="0"/>
          <w:sz w:val="24"/>
        </w:rPr>
      </w:pPr>
    </w:p>
    <w:tbl>
      <w:tblPr>
        <w:tblStyle w:val="2"/>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45"/>
        <w:gridCol w:w="654"/>
        <w:gridCol w:w="5681"/>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53" w:type="dxa"/>
            <w:noWrap w:val="0"/>
            <w:vAlign w:val="center"/>
          </w:tcPr>
          <w:p>
            <w:pPr>
              <w:spacing w:after="0" w:line="360" w:lineRule="auto"/>
              <w:ind w:firstLine="28"/>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245" w:type="dxa"/>
            <w:noWrap w:val="0"/>
            <w:vAlign w:val="center"/>
          </w:tcPr>
          <w:p>
            <w:pPr>
              <w:spacing w:after="0" w:line="360" w:lineRule="auto"/>
              <w:ind w:firstLine="28"/>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评分因素</w:t>
            </w:r>
          </w:p>
        </w:tc>
        <w:tc>
          <w:tcPr>
            <w:tcW w:w="654" w:type="dxa"/>
            <w:noWrap w:val="0"/>
            <w:vAlign w:val="center"/>
          </w:tcPr>
          <w:p>
            <w:pPr>
              <w:spacing w:after="0" w:line="360" w:lineRule="auto"/>
              <w:ind w:firstLine="28"/>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5681" w:type="dxa"/>
            <w:noWrap w:val="0"/>
            <w:vAlign w:val="center"/>
          </w:tcPr>
          <w:p>
            <w:pPr>
              <w:spacing w:after="0" w:line="360" w:lineRule="auto"/>
              <w:ind w:firstLine="28"/>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评分标准</w:t>
            </w:r>
          </w:p>
        </w:tc>
        <w:tc>
          <w:tcPr>
            <w:tcW w:w="1405" w:type="dxa"/>
            <w:noWrap w:val="0"/>
            <w:vAlign w:val="center"/>
          </w:tcPr>
          <w:p>
            <w:pPr>
              <w:spacing w:after="0" w:line="360" w:lineRule="auto"/>
              <w:ind w:firstLine="28"/>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245"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
                <w:color w:val="000000"/>
                <w:kern w:val="0"/>
                <w:sz w:val="24"/>
              </w:rPr>
              <w:t>报价</w:t>
            </w:r>
          </w:p>
        </w:tc>
        <w:tc>
          <w:tcPr>
            <w:tcW w:w="654"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10</w:t>
            </w:r>
            <w:r>
              <w:rPr>
                <w:rFonts w:hint="eastAsia" w:ascii="仿宋" w:hAnsi="仿宋" w:eastAsia="仿宋" w:cs="仿宋"/>
                <w:color w:val="000000"/>
                <w:kern w:val="0"/>
                <w:sz w:val="24"/>
              </w:rPr>
              <w:t>分</w:t>
            </w:r>
          </w:p>
        </w:tc>
        <w:tc>
          <w:tcPr>
            <w:tcW w:w="5681" w:type="dxa"/>
            <w:noWrap w:val="0"/>
            <w:vAlign w:val="center"/>
          </w:tcPr>
          <w:p>
            <w:pPr>
              <w:spacing w:after="0" w:line="360" w:lineRule="auto"/>
              <w:rPr>
                <w:rFonts w:ascii="仿宋" w:hAnsi="仿宋" w:eastAsia="仿宋" w:cs="仿宋"/>
                <w:color w:val="000000"/>
                <w:kern w:val="0"/>
                <w:sz w:val="24"/>
              </w:rPr>
            </w:pPr>
            <w:r>
              <w:rPr>
                <w:rFonts w:hint="eastAsia" w:ascii="仿宋" w:hAnsi="仿宋" w:eastAsia="仿宋" w:cs="仿宋"/>
                <w:color w:val="000000"/>
                <w:kern w:val="0"/>
                <w:sz w:val="24"/>
              </w:rPr>
              <w:t>以本次最低有效投标报价为基</w:t>
            </w:r>
            <w:bookmarkStart w:id="0" w:name="_GoBack"/>
            <w:bookmarkEnd w:id="0"/>
            <w:r>
              <w:rPr>
                <w:rFonts w:hint="eastAsia" w:ascii="仿宋" w:hAnsi="仿宋" w:eastAsia="仿宋" w:cs="仿宋"/>
                <w:color w:val="000000"/>
                <w:kern w:val="0"/>
                <w:sz w:val="24"/>
              </w:rPr>
              <w:t>准价，投标报价得分=(基准价／投标报价)×10。</w:t>
            </w:r>
          </w:p>
        </w:tc>
        <w:tc>
          <w:tcPr>
            <w:tcW w:w="1405" w:type="dxa"/>
            <w:noWrap w:val="0"/>
            <w:vAlign w:val="center"/>
          </w:tcPr>
          <w:p>
            <w:pPr>
              <w:spacing w:after="0" w:line="360" w:lineRule="auto"/>
              <w:rPr>
                <w:rFonts w:ascii="仿宋" w:hAnsi="仿宋" w:eastAsia="仿宋" w:cs="仿宋"/>
                <w:color w:val="000000"/>
                <w:kern w:val="0"/>
                <w:sz w:val="24"/>
              </w:rPr>
            </w:pPr>
          </w:p>
          <w:p>
            <w:pPr>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45"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
                <w:color w:val="000000"/>
                <w:kern w:val="0"/>
                <w:sz w:val="24"/>
              </w:rPr>
              <w:t>技术与服务要求</w:t>
            </w:r>
          </w:p>
        </w:tc>
        <w:tc>
          <w:tcPr>
            <w:tcW w:w="654"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26</w:t>
            </w:r>
            <w:r>
              <w:rPr>
                <w:rFonts w:hint="eastAsia" w:ascii="仿宋" w:hAnsi="仿宋" w:eastAsia="仿宋" w:cs="仿宋"/>
                <w:color w:val="000000"/>
                <w:kern w:val="0"/>
                <w:sz w:val="24"/>
              </w:rPr>
              <w:t>分</w:t>
            </w:r>
          </w:p>
        </w:tc>
        <w:tc>
          <w:tcPr>
            <w:tcW w:w="5681" w:type="dxa"/>
            <w:noWrap w:val="0"/>
            <w:vAlign w:val="center"/>
          </w:tcPr>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1、投标人针对一般条款的响应得分规则如下：（一般条款是指：除标注“★”和“*”的条款以外的所有条款）</w:t>
            </w:r>
          </w:p>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一般条款响应得分=（投标人满足一般条款的数量÷一般条款的总数量）×14分</w:t>
            </w:r>
          </w:p>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2、投标人针对“★”条款的响应得分规则如下：</w:t>
            </w:r>
          </w:p>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“★”条款响应得分=（投标人满足“★”条款的数量÷“★”条款的总数量）×1</w:t>
            </w:r>
            <w:r>
              <w:rPr>
                <w:rFonts w:ascii="仿宋" w:hAnsi="仿宋" w:eastAsia="仿宋" w:cs="仿宋_GB2312"/>
                <w:color w:val="000000"/>
                <w:kern w:val="0"/>
                <w:sz w:val="24"/>
              </w:rPr>
              <w:t>2</w:t>
            </w:r>
            <w:r>
              <w:rPr>
                <w:rFonts w:hint="eastAsia" w:ascii="仿宋" w:hAnsi="仿宋" w:eastAsia="仿宋" w:cs="仿宋_GB2312"/>
                <w:color w:val="000000"/>
                <w:kern w:val="0"/>
                <w:sz w:val="24"/>
              </w:rPr>
              <w:t xml:space="preserve">分 </w:t>
            </w:r>
          </w:p>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注：①以序号1.1、1.2、1.3……为一项</w:t>
            </w:r>
          </w:p>
          <w:p>
            <w:pPr>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②针对技术服务要求条款的技术响应，如果招标文件技术服务要求中的技术条款对技术支撑材料有要求，应按要求提供，否则对应技术服务条款将视为不满足。</w:t>
            </w:r>
          </w:p>
        </w:tc>
        <w:tc>
          <w:tcPr>
            <w:tcW w:w="1405" w:type="dxa"/>
            <w:noWrap w:val="0"/>
            <w:vAlign w:val="center"/>
          </w:tcPr>
          <w:p>
            <w:pPr>
              <w:spacing w:after="0" w:line="360" w:lineRule="auto"/>
              <w:rPr>
                <w:rFonts w:ascii="仿宋" w:hAnsi="仿宋" w:eastAsia="仿宋" w:cs="仿宋"/>
                <w:color w:val="000000"/>
                <w:kern w:val="0"/>
                <w:sz w:val="24"/>
              </w:rPr>
            </w:pPr>
            <w:r>
              <w:rPr>
                <w:rFonts w:hint="eastAsia" w:ascii="仿宋" w:hAnsi="仿宋" w:eastAsia="仿宋" w:cs="仿宋"/>
                <w:color w:val="000000"/>
                <w:kern w:val="0"/>
                <w:sz w:val="24"/>
              </w:rPr>
              <w:t>投标人须认真核实所有技术支持资料，并对其在投标文件中提供的技术支持资料的真实性负责，并承担由此带来的一切法律责任和后果。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3</w:t>
            </w:r>
          </w:p>
        </w:tc>
        <w:tc>
          <w:tcPr>
            <w:tcW w:w="1245"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_GB2312"/>
                <w:color w:val="000000"/>
                <w:kern w:val="0"/>
                <w:sz w:val="24"/>
              </w:rPr>
              <w:t>纸质病案仓储服务方案</w:t>
            </w:r>
          </w:p>
        </w:tc>
        <w:tc>
          <w:tcPr>
            <w:tcW w:w="654" w:type="dxa"/>
            <w:noWrap w:val="0"/>
            <w:vAlign w:val="center"/>
          </w:tcPr>
          <w:p>
            <w:pPr>
              <w:spacing w:after="0" w:line="360" w:lineRule="auto"/>
              <w:jc w:val="center"/>
              <w:rPr>
                <w:rFonts w:ascii="仿宋" w:hAnsi="仿宋" w:eastAsia="仿宋" w:cs="仿宋"/>
                <w:color w:val="000000"/>
                <w:kern w:val="0"/>
                <w:sz w:val="24"/>
              </w:rPr>
            </w:pPr>
            <w:r>
              <w:rPr>
                <w:rFonts w:ascii="仿宋" w:hAnsi="仿宋" w:eastAsia="仿宋" w:cs="仿宋"/>
                <w:color w:val="000000"/>
                <w:kern w:val="0"/>
                <w:sz w:val="24"/>
              </w:rPr>
              <w:t>6</w:t>
            </w:r>
            <w:r>
              <w:rPr>
                <w:rFonts w:hint="eastAsia" w:ascii="仿宋" w:hAnsi="仿宋" w:eastAsia="仿宋" w:cs="仿宋"/>
                <w:color w:val="000000"/>
                <w:kern w:val="0"/>
                <w:sz w:val="24"/>
              </w:rPr>
              <w:t>分</w:t>
            </w:r>
          </w:p>
        </w:tc>
        <w:tc>
          <w:tcPr>
            <w:tcW w:w="5681" w:type="dxa"/>
            <w:noWrap w:val="0"/>
            <w:vAlign w:val="center"/>
          </w:tcPr>
          <w:p>
            <w:pPr>
              <w:spacing w:after="0" w:line="360" w:lineRule="auto"/>
              <w:jc w:val="left"/>
              <w:rPr>
                <w:rFonts w:ascii="仿宋" w:hAnsi="仿宋" w:eastAsia="仿宋"/>
                <w:color w:val="000000"/>
                <w:sz w:val="24"/>
              </w:rPr>
            </w:pPr>
            <w:r>
              <w:rPr>
                <w:rFonts w:hint="eastAsia" w:ascii="仿宋" w:hAnsi="仿宋" w:eastAsia="仿宋"/>
                <w:color w:val="000000"/>
                <w:sz w:val="24"/>
              </w:rPr>
              <w:t>根据投标人针对本项目提供的</w:t>
            </w:r>
            <w:r>
              <w:rPr>
                <w:rFonts w:hint="eastAsia" w:ascii="仿宋" w:hAnsi="仿宋" w:eastAsia="仿宋" w:cs="仿宋_GB2312"/>
                <w:color w:val="000000"/>
                <w:kern w:val="0"/>
                <w:sz w:val="24"/>
              </w:rPr>
              <w:t>纸质病案仓储服务方案</w:t>
            </w:r>
            <w:r>
              <w:rPr>
                <w:rFonts w:hint="eastAsia" w:ascii="仿宋" w:hAnsi="仿宋" w:eastAsia="仿宋"/>
                <w:color w:val="000000"/>
                <w:sz w:val="24"/>
              </w:rPr>
              <w:t>（包括但不限于①</w:t>
            </w:r>
            <w:r>
              <w:rPr>
                <w:rFonts w:hint="eastAsia" w:ascii="仿宋" w:hAnsi="仿宋" w:eastAsia="仿宋" w:cs="仿宋_GB2312"/>
                <w:color w:val="000000"/>
                <w:kern w:val="0"/>
                <w:sz w:val="24"/>
              </w:rPr>
              <w:t>仓储中心周围环境</w:t>
            </w:r>
            <w:r>
              <w:rPr>
                <w:rFonts w:hint="eastAsia" w:ascii="仿宋" w:hAnsi="仿宋" w:eastAsia="仿宋"/>
                <w:color w:val="000000"/>
                <w:sz w:val="24"/>
              </w:rPr>
              <w:t>、②</w:t>
            </w:r>
            <w:r>
              <w:rPr>
                <w:rFonts w:hint="eastAsia" w:ascii="仿宋" w:hAnsi="仿宋" w:eastAsia="仿宋" w:cs="仿宋_GB2312"/>
                <w:color w:val="000000"/>
                <w:kern w:val="0"/>
                <w:sz w:val="24"/>
              </w:rPr>
              <w:t>安全防范措施</w:t>
            </w:r>
            <w:r>
              <w:rPr>
                <w:rFonts w:hint="eastAsia" w:ascii="仿宋" w:hAnsi="仿宋" w:eastAsia="仿宋"/>
                <w:color w:val="000000"/>
                <w:sz w:val="24"/>
              </w:rPr>
              <w:t>、③</w:t>
            </w:r>
            <w:r>
              <w:rPr>
                <w:rFonts w:hint="eastAsia" w:ascii="仿宋" w:hAnsi="仿宋" w:eastAsia="仿宋" w:cs="仿宋_GB2312"/>
                <w:color w:val="000000"/>
                <w:kern w:val="0"/>
                <w:sz w:val="24"/>
              </w:rPr>
              <w:t>库房消防控制系统</w:t>
            </w:r>
            <w:r>
              <w:rPr>
                <w:rFonts w:hint="eastAsia" w:ascii="仿宋" w:hAnsi="仿宋" w:eastAsia="仿宋"/>
                <w:color w:val="000000"/>
                <w:sz w:val="24"/>
              </w:rPr>
              <w:t>、④</w:t>
            </w:r>
            <w:r>
              <w:rPr>
                <w:rFonts w:hint="eastAsia" w:ascii="仿宋" w:hAnsi="仿宋" w:eastAsia="仿宋" w:cs="仿宋_GB2312"/>
                <w:color w:val="000000"/>
                <w:kern w:val="0"/>
                <w:sz w:val="24"/>
              </w:rPr>
              <w:t>防腐防蛀防光防尘管理</w:t>
            </w:r>
            <w:r>
              <w:rPr>
                <w:rFonts w:hint="eastAsia" w:ascii="仿宋" w:hAnsi="仿宋" w:eastAsia="仿宋"/>
                <w:color w:val="000000"/>
                <w:sz w:val="24"/>
              </w:rPr>
              <w:t>）</w:t>
            </w:r>
            <w:r>
              <w:rPr>
                <w:rFonts w:ascii="仿宋" w:hAnsi="仿宋" w:eastAsia="仿宋"/>
                <w:color w:val="000000"/>
                <w:sz w:val="24"/>
              </w:rPr>
              <w:t>以上方案</w:t>
            </w:r>
            <w:r>
              <w:rPr>
                <w:rFonts w:hint="eastAsia" w:ascii="仿宋" w:hAnsi="仿宋" w:eastAsia="仿宋"/>
                <w:color w:val="000000"/>
                <w:sz w:val="24"/>
              </w:rPr>
              <w:t>提供</w:t>
            </w:r>
            <w:r>
              <w:rPr>
                <w:rFonts w:ascii="仿宋" w:hAnsi="仿宋" w:eastAsia="仿宋"/>
                <w:color w:val="000000"/>
                <w:sz w:val="24"/>
              </w:rPr>
              <w:t>完整并满足项目需求的</w:t>
            </w:r>
            <w:r>
              <w:rPr>
                <w:rFonts w:hint="eastAsia" w:ascii="仿宋" w:hAnsi="仿宋" w:eastAsia="仿宋"/>
                <w:color w:val="000000"/>
                <w:sz w:val="24"/>
              </w:rPr>
              <w:t>得</w:t>
            </w:r>
            <w:r>
              <w:rPr>
                <w:rFonts w:ascii="仿宋" w:hAnsi="仿宋" w:eastAsia="仿宋"/>
                <w:color w:val="000000"/>
                <w:sz w:val="24"/>
              </w:rPr>
              <w:t>4</w:t>
            </w:r>
            <w:r>
              <w:rPr>
                <w:rFonts w:hint="eastAsia" w:ascii="仿宋" w:hAnsi="仿宋" w:eastAsia="仿宋"/>
                <w:color w:val="000000"/>
                <w:sz w:val="24"/>
              </w:rPr>
              <w:t>分。每缺少一项</w:t>
            </w:r>
            <w:r>
              <w:rPr>
                <w:rFonts w:ascii="仿宋" w:hAnsi="仿宋" w:eastAsia="仿宋"/>
                <w:color w:val="000000"/>
                <w:sz w:val="24"/>
              </w:rPr>
              <w:t>或每有</w:t>
            </w:r>
            <w:r>
              <w:rPr>
                <w:rFonts w:hint="eastAsia" w:ascii="仿宋" w:hAnsi="仿宋" w:eastAsia="仿宋"/>
                <w:color w:val="000000"/>
                <w:sz w:val="24"/>
              </w:rPr>
              <w:t>一项</w:t>
            </w:r>
            <w:r>
              <w:rPr>
                <w:rFonts w:ascii="仿宋" w:hAnsi="仿宋" w:eastAsia="仿宋"/>
                <w:color w:val="000000"/>
                <w:sz w:val="24"/>
              </w:rPr>
              <w:t>有缺陷</w:t>
            </w:r>
            <w:r>
              <w:rPr>
                <w:rFonts w:hint="eastAsia" w:ascii="仿宋" w:hAnsi="仿宋" w:eastAsia="仿宋"/>
                <w:color w:val="000000"/>
                <w:sz w:val="24"/>
              </w:rPr>
              <w:t>（缺陷是指存在项目名称错误、地点区域错误、内容与本项目需求无关、方案内容矛盾或表述前后不一致、仅有框架或标题、适用的标准（方法）错误、明显复制其他项目内容等任意一种情形）扣</w:t>
            </w:r>
            <w:r>
              <w:rPr>
                <w:rFonts w:ascii="仿宋" w:hAnsi="仿宋" w:eastAsia="仿宋"/>
                <w:color w:val="000000"/>
                <w:sz w:val="24"/>
              </w:rPr>
              <w:t>1</w:t>
            </w:r>
            <w:r>
              <w:rPr>
                <w:rFonts w:hint="eastAsia" w:ascii="仿宋" w:hAnsi="仿宋" w:eastAsia="仿宋"/>
                <w:color w:val="000000"/>
                <w:sz w:val="24"/>
              </w:rPr>
              <w:t>分</w:t>
            </w:r>
            <w:r>
              <w:rPr>
                <w:rFonts w:ascii="仿宋" w:hAnsi="仿宋" w:eastAsia="仿宋"/>
                <w:color w:val="000000"/>
                <w:sz w:val="24"/>
              </w:rPr>
              <w:t>，扣完</w:t>
            </w:r>
            <w:r>
              <w:rPr>
                <w:rFonts w:hint="eastAsia" w:ascii="仿宋" w:hAnsi="仿宋" w:eastAsia="仿宋"/>
                <w:color w:val="000000"/>
                <w:sz w:val="24"/>
              </w:rPr>
              <w:t>为止。</w:t>
            </w:r>
          </w:p>
          <w:p>
            <w:pPr>
              <w:spacing w:after="0" w:line="360" w:lineRule="auto"/>
              <w:jc w:val="left"/>
              <w:rPr>
                <w:rFonts w:ascii="仿宋" w:hAnsi="仿宋" w:eastAsia="仿宋"/>
                <w:color w:val="000000"/>
                <w:sz w:val="24"/>
              </w:rPr>
            </w:pPr>
            <w:r>
              <w:rPr>
                <w:rFonts w:hint="eastAsia" w:ascii="仿宋" w:hAnsi="仿宋" w:eastAsia="仿宋"/>
                <w:color w:val="000000"/>
                <w:sz w:val="24"/>
              </w:rPr>
              <w:t>在满足以上要求的基础上，供应商提出针对纸质病案仓储服务方案有利的合理化措施且被评审专家认可的（合理化的措施不能存在：不适用项目实际情况的情形、凭空编造、套用其他项目方案内容、方案中内容前后不一致、前后逻辑错误、涉及的规范及标准错误、地点区域错误、不符合项目实际情况等），每有一项加</w:t>
            </w:r>
            <w:r>
              <w:rPr>
                <w:rFonts w:ascii="仿宋" w:hAnsi="仿宋" w:eastAsia="仿宋"/>
                <w:color w:val="000000"/>
                <w:sz w:val="24"/>
              </w:rPr>
              <w:t>0.5</w:t>
            </w:r>
            <w:r>
              <w:rPr>
                <w:rFonts w:hint="eastAsia" w:ascii="仿宋" w:hAnsi="仿宋" w:eastAsia="仿宋"/>
                <w:color w:val="000000"/>
                <w:sz w:val="24"/>
              </w:rPr>
              <w:t>分，最多加</w:t>
            </w:r>
            <w:r>
              <w:rPr>
                <w:rFonts w:ascii="仿宋" w:hAnsi="仿宋" w:eastAsia="仿宋"/>
                <w:color w:val="000000"/>
                <w:sz w:val="24"/>
              </w:rPr>
              <w:t>2</w:t>
            </w:r>
            <w:r>
              <w:rPr>
                <w:rFonts w:hint="eastAsia" w:ascii="仿宋" w:hAnsi="仿宋" w:eastAsia="仿宋"/>
                <w:color w:val="000000"/>
                <w:sz w:val="24"/>
              </w:rPr>
              <w:t>分。</w:t>
            </w:r>
          </w:p>
        </w:tc>
        <w:tc>
          <w:tcPr>
            <w:tcW w:w="1405" w:type="dxa"/>
            <w:noWrap w:val="0"/>
            <w:vAlign w:val="center"/>
          </w:tcPr>
          <w:p>
            <w:pPr>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3" w:type="dxa"/>
            <w:noWrap w:val="0"/>
            <w:vAlign w:val="center"/>
          </w:tcPr>
          <w:p>
            <w:pPr>
              <w:spacing w:after="0" w:line="360" w:lineRule="auto"/>
              <w:jc w:val="center"/>
              <w:rPr>
                <w:rFonts w:ascii="仿宋" w:hAnsi="仿宋" w:eastAsia="仿宋" w:cs="仿宋"/>
                <w:color w:val="000000"/>
                <w:kern w:val="0"/>
                <w:sz w:val="24"/>
              </w:rPr>
            </w:pPr>
            <w:r>
              <w:rPr>
                <w:rFonts w:ascii="仿宋" w:hAnsi="仿宋" w:eastAsia="仿宋" w:cs="仿宋"/>
                <w:color w:val="000000"/>
                <w:kern w:val="0"/>
                <w:sz w:val="24"/>
              </w:rPr>
              <w:t>4</w:t>
            </w:r>
          </w:p>
        </w:tc>
        <w:tc>
          <w:tcPr>
            <w:tcW w:w="1245" w:type="dxa"/>
            <w:noWrap w:val="0"/>
            <w:vAlign w:val="center"/>
          </w:tcPr>
          <w:p>
            <w:pPr>
              <w:spacing w:after="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项目实施计划</w:t>
            </w:r>
          </w:p>
        </w:tc>
        <w:tc>
          <w:tcPr>
            <w:tcW w:w="654"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8</w:t>
            </w:r>
            <w:r>
              <w:rPr>
                <w:rFonts w:hint="eastAsia" w:ascii="仿宋" w:hAnsi="仿宋" w:eastAsia="仿宋" w:cs="仿宋"/>
                <w:color w:val="000000"/>
                <w:kern w:val="0"/>
                <w:sz w:val="24"/>
              </w:rPr>
              <w:t>分</w:t>
            </w:r>
          </w:p>
        </w:tc>
        <w:tc>
          <w:tcPr>
            <w:tcW w:w="5681" w:type="dxa"/>
            <w:noWrap w:val="0"/>
            <w:vAlign w:val="center"/>
          </w:tcPr>
          <w:p>
            <w:pPr>
              <w:spacing w:after="0" w:line="360" w:lineRule="auto"/>
              <w:jc w:val="left"/>
              <w:rPr>
                <w:rFonts w:ascii="仿宋" w:hAnsi="仿宋" w:eastAsia="仿宋"/>
                <w:color w:val="000000"/>
                <w:sz w:val="24"/>
              </w:rPr>
            </w:pPr>
            <w:r>
              <w:rPr>
                <w:rFonts w:hint="eastAsia" w:ascii="仿宋" w:hAnsi="仿宋" w:eastAsia="仿宋"/>
                <w:color w:val="000000"/>
                <w:sz w:val="24"/>
              </w:rPr>
              <w:t>根据投标人针对本项目提供的项目服务实施方案（包括但不限于①项目管理配置、②项目奖惩条例、③项目实施计划安排、以上方案</w:t>
            </w:r>
            <w:r>
              <w:rPr>
                <w:rFonts w:ascii="仿宋" w:hAnsi="仿宋" w:eastAsia="仿宋"/>
                <w:color w:val="000000"/>
                <w:sz w:val="24"/>
              </w:rPr>
              <w:t>提供完整并满足项目</w:t>
            </w:r>
            <w:r>
              <w:rPr>
                <w:rFonts w:hint="eastAsia" w:ascii="仿宋" w:hAnsi="仿宋" w:eastAsia="仿宋"/>
                <w:color w:val="000000"/>
                <w:sz w:val="24"/>
              </w:rPr>
              <w:t>要求的得</w:t>
            </w:r>
            <w:r>
              <w:rPr>
                <w:rFonts w:ascii="仿宋" w:hAnsi="仿宋" w:eastAsia="仿宋"/>
                <w:color w:val="000000"/>
                <w:sz w:val="24"/>
              </w:rPr>
              <w:t>6</w:t>
            </w:r>
            <w:r>
              <w:rPr>
                <w:rFonts w:hint="eastAsia" w:ascii="仿宋" w:hAnsi="仿宋" w:eastAsia="仿宋"/>
                <w:color w:val="000000"/>
                <w:sz w:val="24"/>
              </w:rPr>
              <w:t>分。每缺少一项</w:t>
            </w:r>
            <w:r>
              <w:rPr>
                <w:rFonts w:ascii="仿宋" w:hAnsi="仿宋" w:eastAsia="仿宋"/>
                <w:color w:val="000000"/>
                <w:sz w:val="24"/>
              </w:rPr>
              <w:t>或每有</w:t>
            </w:r>
            <w:r>
              <w:rPr>
                <w:rFonts w:hint="eastAsia" w:ascii="仿宋" w:hAnsi="仿宋" w:eastAsia="仿宋"/>
                <w:color w:val="000000"/>
                <w:sz w:val="24"/>
              </w:rPr>
              <w:t>一项</w:t>
            </w:r>
            <w:r>
              <w:rPr>
                <w:rFonts w:ascii="仿宋" w:hAnsi="仿宋" w:eastAsia="仿宋"/>
                <w:color w:val="000000"/>
                <w:sz w:val="24"/>
              </w:rPr>
              <w:t>有缺陷</w:t>
            </w:r>
            <w:r>
              <w:rPr>
                <w:rFonts w:hint="eastAsia" w:ascii="仿宋" w:hAnsi="仿宋" w:eastAsia="仿宋"/>
                <w:color w:val="000000"/>
                <w:sz w:val="24"/>
              </w:rPr>
              <w:t>（缺陷是指存在项目名称错误、地点区域错误、内容与本项目需求无关、方案内容矛盾或表述前后不一致、仅有框架或标题、适用的标准（方法）错误、明显复制其他项目内容等任意一种情形）扣</w:t>
            </w:r>
            <w:r>
              <w:rPr>
                <w:rFonts w:ascii="仿宋" w:hAnsi="仿宋" w:eastAsia="仿宋"/>
                <w:color w:val="000000"/>
                <w:sz w:val="24"/>
              </w:rPr>
              <w:t>2</w:t>
            </w:r>
            <w:r>
              <w:rPr>
                <w:rFonts w:hint="eastAsia" w:ascii="仿宋" w:hAnsi="仿宋" w:eastAsia="仿宋"/>
                <w:color w:val="000000"/>
                <w:sz w:val="24"/>
              </w:rPr>
              <w:t>分</w:t>
            </w:r>
            <w:r>
              <w:rPr>
                <w:rFonts w:ascii="仿宋" w:hAnsi="仿宋" w:eastAsia="仿宋"/>
                <w:color w:val="000000"/>
                <w:sz w:val="24"/>
              </w:rPr>
              <w:t>，扣完</w:t>
            </w:r>
            <w:r>
              <w:rPr>
                <w:rFonts w:hint="eastAsia" w:ascii="仿宋" w:hAnsi="仿宋" w:eastAsia="仿宋"/>
                <w:color w:val="000000"/>
                <w:sz w:val="24"/>
              </w:rPr>
              <w:t>为止</w:t>
            </w:r>
          </w:p>
          <w:p>
            <w:pPr>
              <w:spacing w:after="0" w:line="360" w:lineRule="auto"/>
              <w:jc w:val="left"/>
              <w:rPr>
                <w:rFonts w:ascii="仿宋" w:hAnsi="仿宋" w:eastAsia="仿宋"/>
                <w:color w:val="000000"/>
                <w:sz w:val="24"/>
              </w:rPr>
            </w:pPr>
            <w:r>
              <w:rPr>
                <w:rFonts w:hint="eastAsia" w:ascii="仿宋" w:hAnsi="仿宋" w:eastAsia="仿宋"/>
                <w:color w:val="000000"/>
                <w:sz w:val="24"/>
              </w:rPr>
              <w:t>在满足以上要求的基础上，供应商提出针对项目实施计划有利的合理化措施且被评审专家认可的（合理化的措施不能存在：不适用项目实际情况的情形、凭空编造、套用其他项目方案内容、方案中内容前后不一致、前后逻辑错误、涉及的规范及标准错误、地点区域错误、不符合项目实际情况等），每有一项加0.5分，最多加</w:t>
            </w:r>
            <w:r>
              <w:rPr>
                <w:rFonts w:ascii="仿宋" w:hAnsi="仿宋" w:eastAsia="仿宋"/>
                <w:color w:val="000000"/>
                <w:sz w:val="24"/>
              </w:rPr>
              <w:t>2</w:t>
            </w:r>
            <w:r>
              <w:rPr>
                <w:rFonts w:hint="eastAsia" w:ascii="仿宋" w:hAnsi="仿宋" w:eastAsia="仿宋"/>
                <w:color w:val="000000"/>
                <w:sz w:val="24"/>
              </w:rPr>
              <w:t>分。</w:t>
            </w:r>
          </w:p>
        </w:tc>
        <w:tc>
          <w:tcPr>
            <w:tcW w:w="1405" w:type="dxa"/>
            <w:noWrap w:val="0"/>
            <w:vAlign w:val="center"/>
          </w:tcPr>
          <w:p>
            <w:pPr>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5</w:t>
            </w:r>
          </w:p>
        </w:tc>
        <w:tc>
          <w:tcPr>
            <w:tcW w:w="1245" w:type="dxa"/>
            <w:noWrap w:val="0"/>
            <w:vAlign w:val="center"/>
          </w:tcPr>
          <w:p>
            <w:pPr>
              <w:spacing w:after="0" w:line="360" w:lineRule="auto"/>
              <w:ind w:firstLine="28"/>
              <w:jc w:val="center"/>
              <w:rPr>
                <w:rFonts w:ascii="仿宋" w:hAnsi="仿宋" w:eastAsia="仿宋" w:cs="仿宋"/>
                <w:color w:val="000000"/>
                <w:kern w:val="0"/>
                <w:sz w:val="24"/>
              </w:rPr>
            </w:pPr>
            <w:r>
              <w:rPr>
                <w:rFonts w:hint="eastAsia" w:ascii="仿宋" w:hAnsi="仿宋" w:eastAsia="仿宋" w:cs="仿宋"/>
                <w:color w:val="000000"/>
                <w:kern w:val="0"/>
                <w:sz w:val="24"/>
              </w:rPr>
              <w:t>资信证明</w:t>
            </w:r>
          </w:p>
        </w:tc>
        <w:tc>
          <w:tcPr>
            <w:tcW w:w="654"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6</w:t>
            </w:r>
            <w:r>
              <w:rPr>
                <w:rFonts w:hint="eastAsia" w:ascii="仿宋" w:hAnsi="仿宋" w:eastAsia="仿宋" w:cs="仿宋"/>
                <w:color w:val="000000"/>
                <w:kern w:val="0"/>
                <w:sz w:val="24"/>
              </w:rPr>
              <w:t>分</w:t>
            </w:r>
          </w:p>
        </w:tc>
        <w:tc>
          <w:tcPr>
            <w:tcW w:w="5681" w:type="dxa"/>
            <w:noWrap w:val="0"/>
            <w:vAlign w:val="center"/>
          </w:tcPr>
          <w:p>
            <w:pPr>
              <w:spacing w:after="0" w:line="360" w:lineRule="auto"/>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.投标人具有有效的信息技术服务管理体系认证证书的得</w:t>
            </w:r>
            <w:r>
              <w:rPr>
                <w:rFonts w:ascii="仿宋" w:hAnsi="仿宋" w:eastAsia="仿宋"/>
                <w:color w:val="000000"/>
                <w:sz w:val="24"/>
              </w:rPr>
              <w:t>3</w:t>
            </w:r>
            <w:r>
              <w:rPr>
                <w:rFonts w:hint="eastAsia" w:ascii="仿宋" w:hAnsi="仿宋" w:eastAsia="仿宋"/>
                <w:color w:val="000000"/>
                <w:sz w:val="24"/>
              </w:rPr>
              <w:t>分。</w:t>
            </w:r>
          </w:p>
          <w:p>
            <w:pPr>
              <w:spacing w:after="0" w:line="360" w:lineRule="auto"/>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.投标人针对本项目所提供的病案数字化软件具有相关著作权登记证书得</w:t>
            </w:r>
            <w:r>
              <w:rPr>
                <w:rFonts w:ascii="仿宋" w:hAnsi="仿宋" w:eastAsia="仿宋"/>
                <w:color w:val="000000"/>
                <w:sz w:val="24"/>
              </w:rPr>
              <w:t>3</w:t>
            </w:r>
            <w:r>
              <w:rPr>
                <w:rFonts w:hint="eastAsia" w:ascii="仿宋" w:hAnsi="仿宋" w:eastAsia="仿宋"/>
                <w:color w:val="000000"/>
                <w:sz w:val="24"/>
              </w:rPr>
              <w:t>分。</w:t>
            </w:r>
          </w:p>
          <w:p>
            <w:pPr>
              <w:spacing w:after="0" w:line="360" w:lineRule="auto"/>
              <w:rPr>
                <w:rFonts w:ascii="仿宋" w:hAnsi="仿宋" w:eastAsia="仿宋"/>
                <w:color w:val="000000"/>
                <w:sz w:val="24"/>
              </w:rPr>
            </w:pPr>
            <w:r>
              <w:rPr>
                <w:rFonts w:hint="eastAsia" w:ascii="仿宋" w:hAnsi="仿宋" w:eastAsia="仿宋"/>
                <w:color w:val="000000"/>
                <w:sz w:val="24"/>
              </w:rPr>
              <w:t>注：以上内容均需提供相关证书复印件并加盖投标人公章（鲜章）</w:t>
            </w:r>
          </w:p>
        </w:tc>
        <w:tc>
          <w:tcPr>
            <w:tcW w:w="1405" w:type="dxa"/>
            <w:noWrap w:val="0"/>
            <w:vAlign w:val="center"/>
          </w:tcPr>
          <w:p>
            <w:pPr>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6</w:t>
            </w:r>
          </w:p>
        </w:tc>
        <w:tc>
          <w:tcPr>
            <w:tcW w:w="1245" w:type="dxa"/>
            <w:noWrap w:val="0"/>
            <w:vAlign w:val="center"/>
          </w:tcPr>
          <w:p>
            <w:pPr>
              <w:tabs>
                <w:tab w:val="left" w:pos="720"/>
              </w:tabs>
              <w:adjustRightInd w:val="0"/>
              <w:snapToGrid w:val="0"/>
              <w:spacing w:after="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履约能力</w:t>
            </w:r>
          </w:p>
        </w:tc>
        <w:tc>
          <w:tcPr>
            <w:tcW w:w="654" w:type="dxa"/>
            <w:noWrap w:val="0"/>
            <w:vAlign w:val="center"/>
          </w:tcPr>
          <w:p>
            <w:pPr>
              <w:tabs>
                <w:tab w:val="left" w:pos="720"/>
              </w:tabs>
              <w:adjustRightInd w:val="0"/>
              <w:snapToGrid w:val="0"/>
              <w:spacing w:after="0" w:line="360" w:lineRule="auto"/>
              <w:jc w:val="center"/>
              <w:rPr>
                <w:rFonts w:ascii="仿宋" w:hAnsi="仿宋" w:eastAsia="仿宋" w:cs="仿宋"/>
                <w:color w:val="000000"/>
                <w:kern w:val="0"/>
                <w:sz w:val="24"/>
              </w:rPr>
            </w:pPr>
            <w:r>
              <w:rPr>
                <w:rFonts w:ascii="仿宋" w:hAnsi="仿宋" w:eastAsia="仿宋" w:cs="仿宋"/>
                <w:color w:val="000000"/>
                <w:kern w:val="0"/>
                <w:sz w:val="24"/>
              </w:rPr>
              <w:t>16</w:t>
            </w:r>
            <w:r>
              <w:rPr>
                <w:rFonts w:hint="eastAsia" w:ascii="仿宋" w:hAnsi="仿宋" w:eastAsia="仿宋" w:cs="仿宋"/>
                <w:color w:val="000000"/>
                <w:kern w:val="0"/>
                <w:sz w:val="24"/>
              </w:rPr>
              <w:t>分</w:t>
            </w:r>
          </w:p>
        </w:tc>
        <w:tc>
          <w:tcPr>
            <w:tcW w:w="5681" w:type="dxa"/>
            <w:noWrap w:val="0"/>
            <w:vAlign w:val="center"/>
          </w:tcPr>
          <w:p>
            <w:pPr>
              <w:spacing w:after="0" w:line="360" w:lineRule="auto"/>
              <w:rPr>
                <w:rFonts w:ascii="仿宋" w:hAnsi="仿宋" w:eastAsia="仿宋"/>
                <w:color w:val="000000"/>
                <w:sz w:val="24"/>
              </w:rPr>
            </w:pPr>
            <w:r>
              <w:rPr>
                <w:rFonts w:hint="eastAsia" w:ascii="仿宋" w:hAnsi="仿宋" w:eastAsia="仿宋" w:cs="宋体"/>
                <w:color w:val="000000"/>
                <w:sz w:val="24"/>
              </w:rPr>
              <w:t>1、自20</w:t>
            </w:r>
            <w:r>
              <w:rPr>
                <w:rFonts w:ascii="仿宋" w:hAnsi="仿宋" w:eastAsia="仿宋" w:cs="宋体"/>
                <w:color w:val="000000"/>
                <w:sz w:val="24"/>
              </w:rPr>
              <w:t>21</w:t>
            </w:r>
            <w:r>
              <w:rPr>
                <w:rFonts w:hint="eastAsia" w:ascii="仿宋" w:hAnsi="仿宋" w:eastAsia="仿宋" w:cs="宋体"/>
                <w:color w:val="000000"/>
                <w:sz w:val="24"/>
              </w:rPr>
              <w:t>年1月1日以来，</w:t>
            </w:r>
            <w:r>
              <w:rPr>
                <w:rFonts w:hint="eastAsia" w:ascii="仿宋" w:hAnsi="仿宋" w:eastAsia="仿宋"/>
                <w:color w:val="000000"/>
                <w:sz w:val="24"/>
              </w:rPr>
              <w:t>对投标人具有的类似服务案例进行评比：每具有一个案例的得</w:t>
            </w:r>
            <w:r>
              <w:rPr>
                <w:rFonts w:ascii="仿宋" w:hAnsi="仿宋" w:eastAsia="仿宋"/>
                <w:color w:val="000000"/>
                <w:sz w:val="24"/>
              </w:rPr>
              <w:t>1</w:t>
            </w:r>
            <w:r>
              <w:rPr>
                <w:rFonts w:hint="eastAsia" w:ascii="仿宋" w:hAnsi="仿宋" w:eastAsia="仿宋"/>
                <w:color w:val="000000"/>
                <w:sz w:val="24"/>
              </w:rPr>
              <w:t>分，最多得1</w:t>
            </w:r>
            <w:r>
              <w:rPr>
                <w:rFonts w:ascii="仿宋" w:hAnsi="仿宋" w:eastAsia="仿宋"/>
                <w:color w:val="000000"/>
                <w:sz w:val="24"/>
              </w:rPr>
              <w:t>6</w:t>
            </w:r>
            <w:r>
              <w:rPr>
                <w:rFonts w:hint="eastAsia" w:ascii="仿宋" w:hAnsi="仿宋" w:eastAsia="仿宋"/>
                <w:color w:val="000000"/>
                <w:sz w:val="24"/>
              </w:rPr>
              <w:t>分。</w:t>
            </w:r>
          </w:p>
          <w:p>
            <w:pPr>
              <w:tabs>
                <w:tab w:val="left" w:pos="720"/>
              </w:tabs>
              <w:adjustRightInd w:val="0"/>
              <w:snapToGrid w:val="0"/>
              <w:spacing w:after="0" w:line="360" w:lineRule="auto"/>
              <w:rPr>
                <w:rFonts w:ascii="仿宋" w:hAnsi="仿宋" w:eastAsia="仿宋"/>
                <w:color w:val="000000"/>
                <w:sz w:val="24"/>
              </w:rPr>
            </w:pPr>
            <w:r>
              <w:rPr>
                <w:rFonts w:hint="eastAsia" w:ascii="仿宋" w:hAnsi="仿宋" w:eastAsia="仿宋"/>
                <w:color w:val="000000"/>
                <w:sz w:val="24"/>
              </w:rPr>
              <w:t>注：针对以上服务案例，投标人须提供项目合同（合同内容至少应包含数字化服务）予以证明，否则不予认定。项目合同需提供关键页复印件（首页、服务范围（类似数字化服务）页签署页），业绩需要备注业主方联系人和座机电话。</w:t>
            </w:r>
          </w:p>
        </w:tc>
        <w:tc>
          <w:tcPr>
            <w:tcW w:w="1405" w:type="dxa"/>
            <w:noWrap w:val="0"/>
            <w:vAlign w:val="center"/>
          </w:tcPr>
          <w:p>
            <w:pPr>
              <w:tabs>
                <w:tab w:val="left" w:pos="720"/>
              </w:tabs>
              <w:adjustRightInd w:val="0"/>
              <w:snapToGrid w:val="0"/>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53" w:type="dxa"/>
            <w:noWrap w:val="0"/>
            <w:vAlign w:val="center"/>
          </w:tcPr>
          <w:p>
            <w:pPr>
              <w:spacing w:after="0" w:line="360" w:lineRule="auto"/>
              <w:ind w:firstLine="28"/>
              <w:jc w:val="center"/>
              <w:rPr>
                <w:rFonts w:ascii="仿宋" w:hAnsi="仿宋" w:eastAsia="仿宋" w:cs="仿宋"/>
                <w:color w:val="000000"/>
                <w:kern w:val="0"/>
                <w:sz w:val="24"/>
              </w:rPr>
            </w:pPr>
            <w:r>
              <w:rPr>
                <w:rFonts w:ascii="仿宋" w:hAnsi="仿宋" w:eastAsia="仿宋" w:cs="仿宋"/>
                <w:color w:val="000000"/>
                <w:kern w:val="0"/>
                <w:sz w:val="24"/>
              </w:rPr>
              <w:t>7</w:t>
            </w:r>
          </w:p>
        </w:tc>
        <w:tc>
          <w:tcPr>
            <w:tcW w:w="1245" w:type="dxa"/>
            <w:noWrap w:val="0"/>
            <w:vAlign w:val="center"/>
          </w:tcPr>
          <w:p>
            <w:pPr>
              <w:tabs>
                <w:tab w:val="left" w:pos="720"/>
              </w:tabs>
              <w:adjustRightInd w:val="0"/>
              <w:snapToGrid w:val="0"/>
              <w:spacing w:after="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医疗数据互联互通能力</w:t>
            </w:r>
          </w:p>
        </w:tc>
        <w:tc>
          <w:tcPr>
            <w:tcW w:w="654" w:type="dxa"/>
            <w:noWrap w:val="0"/>
            <w:vAlign w:val="center"/>
          </w:tcPr>
          <w:p>
            <w:pPr>
              <w:tabs>
                <w:tab w:val="left" w:pos="720"/>
              </w:tabs>
              <w:adjustRightInd w:val="0"/>
              <w:snapToGrid w:val="0"/>
              <w:spacing w:after="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20分</w:t>
            </w:r>
          </w:p>
        </w:tc>
        <w:tc>
          <w:tcPr>
            <w:tcW w:w="5681" w:type="dxa"/>
            <w:noWrap w:val="0"/>
            <w:vAlign w:val="center"/>
          </w:tcPr>
          <w:p>
            <w:pPr>
              <w:tabs>
                <w:tab w:val="left" w:pos="720"/>
              </w:tabs>
              <w:adjustRightInd w:val="0"/>
              <w:snapToGrid w:val="0"/>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1</w:t>
            </w:r>
            <w:r>
              <w:rPr>
                <w:rFonts w:ascii="仿宋" w:hAnsi="仿宋" w:eastAsia="仿宋" w:cs="仿宋_GB2312"/>
                <w:color w:val="000000"/>
                <w:kern w:val="0"/>
                <w:sz w:val="24"/>
              </w:rPr>
              <w:t>.</w:t>
            </w:r>
            <w:r>
              <w:rPr>
                <w:rFonts w:ascii="仿宋" w:hAnsi="仿宋" w:eastAsia="仿宋" w:cs="宋体"/>
                <w:color w:val="000000"/>
                <w:sz w:val="24"/>
              </w:rPr>
              <w:t>投标人证明病案数字化制作数据与医院其他系统对接后，实现医疗数据互联互通，需要提供投标人通过中国软件评测中心关于医院信息互联互通标准化成熟度测评方案，提供完整的复印件加盖</w:t>
            </w:r>
            <w:r>
              <w:rPr>
                <w:rFonts w:hint="eastAsia" w:ascii="仿宋" w:hAnsi="仿宋" w:eastAsia="仿宋" w:cs="宋体"/>
                <w:color w:val="000000"/>
                <w:sz w:val="24"/>
              </w:rPr>
              <w:t>供应商</w:t>
            </w:r>
            <w:r>
              <w:rPr>
                <w:rFonts w:ascii="仿宋" w:hAnsi="仿宋" w:eastAsia="仿宋" w:cs="宋体"/>
                <w:color w:val="000000"/>
                <w:sz w:val="24"/>
              </w:rPr>
              <w:t>公章得10分，否则不得分。</w:t>
            </w:r>
          </w:p>
          <w:p>
            <w:pPr>
              <w:tabs>
                <w:tab w:val="left" w:pos="720"/>
              </w:tabs>
              <w:adjustRightInd w:val="0"/>
              <w:snapToGrid w:val="0"/>
              <w:spacing w:after="0" w:line="360" w:lineRule="auto"/>
              <w:rPr>
                <w:rFonts w:ascii="仿宋" w:hAnsi="仿宋" w:eastAsia="仿宋" w:cs="仿宋_GB2312"/>
                <w:color w:val="000000"/>
                <w:kern w:val="0"/>
                <w:sz w:val="24"/>
              </w:rPr>
            </w:pPr>
            <w:r>
              <w:rPr>
                <w:rFonts w:hint="eastAsia" w:ascii="仿宋" w:hAnsi="仿宋" w:eastAsia="仿宋" w:cs="仿宋_GB2312"/>
                <w:color w:val="000000"/>
                <w:kern w:val="0"/>
                <w:sz w:val="24"/>
              </w:rPr>
              <w:t>2.投标人提供在类似项目实施服务过程中用户通过国家卫计委统计信息中心针对互联互通成熟度评测且达到四级甲等及以上水平的得10分，达到三级水平得5分，达到二级水平得</w:t>
            </w:r>
            <w:r>
              <w:rPr>
                <w:rFonts w:ascii="仿宋" w:hAnsi="仿宋" w:eastAsia="仿宋" w:cs="仿宋_GB2312"/>
                <w:color w:val="000000"/>
                <w:kern w:val="0"/>
                <w:sz w:val="24"/>
              </w:rPr>
              <w:t>3</w:t>
            </w:r>
            <w:r>
              <w:rPr>
                <w:rFonts w:hint="eastAsia" w:ascii="仿宋" w:hAnsi="仿宋" w:eastAsia="仿宋" w:cs="仿宋_GB2312"/>
                <w:color w:val="000000"/>
                <w:kern w:val="0"/>
                <w:sz w:val="24"/>
              </w:rPr>
              <w:t>分，达到一级甲等水平得</w:t>
            </w:r>
            <w:r>
              <w:rPr>
                <w:rFonts w:ascii="仿宋" w:hAnsi="仿宋" w:eastAsia="仿宋" w:cs="仿宋_GB2312"/>
                <w:color w:val="000000"/>
                <w:kern w:val="0"/>
                <w:sz w:val="24"/>
              </w:rPr>
              <w:t>1</w:t>
            </w:r>
            <w:r>
              <w:rPr>
                <w:rFonts w:hint="eastAsia" w:ascii="仿宋" w:hAnsi="仿宋" w:eastAsia="仿宋" w:cs="仿宋_GB2312"/>
                <w:color w:val="000000"/>
                <w:kern w:val="0"/>
                <w:sz w:val="24"/>
              </w:rPr>
              <w:t>分。（提供相关案例合同复印件，同时提供相关用户名称及通过授牌图片，以上内容均需加盖投标人公章（鲜章））</w:t>
            </w:r>
          </w:p>
        </w:tc>
        <w:tc>
          <w:tcPr>
            <w:tcW w:w="1405" w:type="dxa"/>
            <w:noWrap w:val="0"/>
            <w:vAlign w:val="center"/>
          </w:tcPr>
          <w:p>
            <w:pPr>
              <w:tabs>
                <w:tab w:val="left" w:pos="720"/>
              </w:tabs>
              <w:adjustRightInd w:val="0"/>
              <w:snapToGrid w:val="0"/>
              <w:spacing w:after="0" w:line="360" w:lineRule="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53" w:type="dxa"/>
            <w:noWrap w:val="0"/>
            <w:vAlign w:val="center"/>
          </w:tcPr>
          <w:p>
            <w:pPr>
              <w:tabs>
                <w:tab w:val="left" w:pos="720"/>
              </w:tabs>
              <w:adjustRightInd w:val="0"/>
              <w:snapToGrid w:val="0"/>
              <w:spacing w:after="0" w:line="360" w:lineRule="auto"/>
              <w:jc w:val="center"/>
              <w:rPr>
                <w:rFonts w:ascii="仿宋" w:hAnsi="仿宋" w:eastAsia="仿宋" w:cs="仿宋"/>
                <w:color w:val="000000"/>
                <w:kern w:val="0"/>
                <w:sz w:val="24"/>
              </w:rPr>
            </w:pPr>
            <w:r>
              <w:rPr>
                <w:rFonts w:ascii="仿宋" w:hAnsi="仿宋" w:eastAsia="仿宋" w:cs="仿宋"/>
                <w:color w:val="000000"/>
                <w:kern w:val="0"/>
                <w:sz w:val="24"/>
              </w:rPr>
              <w:t>9</w:t>
            </w:r>
          </w:p>
        </w:tc>
        <w:tc>
          <w:tcPr>
            <w:tcW w:w="1245" w:type="dxa"/>
            <w:noWrap w:val="0"/>
            <w:vAlign w:val="center"/>
          </w:tcPr>
          <w:p>
            <w:pPr>
              <w:spacing w:after="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售后服务方案</w:t>
            </w:r>
          </w:p>
        </w:tc>
        <w:tc>
          <w:tcPr>
            <w:tcW w:w="654" w:type="dxa"/>
            <w:noWrap w:val="0"/>
            <w:vAlign w:val="center"/>
          </w:tcPr>
          <w:p>
            <w:pPr>
              <w:spacing w:after="0" w:line="360" w:lineRule="auto"/>
              <w:jc w:val="center"/>
              <w:rPr>
                <w:rFonts w:ascii="仿宋" w:hAnsi="仿宋" w:eastAsia="仿宋" w:cs="仿宋"/>
                <w:color w:val="000000"/>
                <w:kern w:val="0"/>
                <w:sz w:val="24"/>
              </w:rPr>
            </w:pPr>
            <w:r>
              <w:rPr>
                <w:rFonts w:ascii="仿宋" w:hAnsi="仿宋" w:eastAsia="仿宋" w:cs="仿宋"/>
                <w:color w:val="000000"/>
                <w:kern w:val="0"/>
                <w:sz w:val="24"/>
              </w:rPr>
              <w:t>8</w:t>
            </w:r>
            <w:r>
              <w:rPr>
                <w:rFonts w:hint="eastAsia" w:ascii="仿宋" w:hAnsi="仿宋" w:eastAsia="仿宋" w:cs="仿宋"/>
                <w:color w:val="000000"/>
                <w:kern w:val="0"/>
                <w:sz w:val="24"/>
              </w:rPr>
              <w:t>分</w:t>
            </w:r>
          </w:p>
        </w:tc>
        <w:tc>
          <w:tcPr>
            <w:tcW w:w="5681" w:type="dxa"/>
            <w:noWrap w:val="0"/>
            <w:vAlign w:val="center"/>
          </w:tcPr>
          <w:p>
            <w:pPr>
              <w:spacing w:after="0" w:line="360" w:lineRule="auto"/>
              <w:rPr>
                <w:rFonts w:ascii="仿宋" w:hAnsi="仿宋" w:eastAsia="仿宋" w:cs="宋体"/>
                <w:color w:val="000000"/>
                <w:kern w:val="0"/>
                <w:sz w:val="24"/>
              </w:rPr>
            </w:pPr>
            <w:r>
              <w:rPr>
                <w:rFonts w:hint="eastAsia" w:ascii="仿宋" w:hAnsi="仿宋" w:eastAsia="仿宋" w:cs="宋体"/>
                <w:color w:val="000000"/>
                <w:kern w:val="0"/>
                <w:sz w:val="24"/>
              </w:rPr>
              <w:t>投标人针对本项目提供的售后服务方案（包括但不限于①售后服务流程、②应急预案、③质量保障方案、④培训方案）</w:t>
            </w:r>
            <w:r>
              <w:rPr>
                <w:rFonts w:hint="eastAsia" w:ascii="仿宋" w:hAnsi="仿宋" w:eastAsia="仿宋"/>
                <w:color w:val="000000"/>
                <w:sz w:val="24"/>
              </w:rPr>
              <w:t>以上方案</w:t>
            </w:r>
            <w:r>
              <w:rPr>
                <w:rFonts w:ascii="仿宋" w:hAnsi="仿宋" w:eastAsia="仿宋"/>
                <w:color w:val="000000"/>
                <w:sz w:val="24"/>
              </w:rPr>
              <w:t>提供完整并满足项目</w:t>
            </w:r>
            <w:r>
              <w:rPr>
                <w:rFonts w:hint="eastAsia" w:ascii="仿宋" w:hAnsi="仿宋" w:eastAsia="仿宋"/>
                <w:color w:val="000000"/>
                <w:sz w:val="24"/>
              </w:rPr>
              <w:t>需求的</w:t>
            </w:r>
            <w:r>
              <w:rPr>
                <w:rFonts w:hint="eastAsia" w:ascii="仿宋" w:hAnsi="仿宋" w:eastAsia="仿宋" w:cs="宋体"/>
                <w:color w:val="000000"/>
                <w:kern w:val="0"/>
                <w:sz w:val="24"/>
              </w:rPr>
              <w:t>得</w:t>
            </w:r>
            <w:r>
              <w:rPr>
                <w:rFonts w:ascii="仿宋" w:hAnsi="仿宋" w:eastAsia="仿宋" w:cs="宋体"/>
                <w:color w:val="000000"/>
                <w:kern w:val="0"/>
                <w:sz w:val="24"/>
              </w:rPr>
              <w:t>6</w:t>
            </w:r>
            <w:r>
              <w:rPr>
                <w:rFonts w:hint="eastAsia" w:ascii="仿宋" w:hAnsi="仿宋" w:eastAsia="仿宋" w:cs="宋体"/>
                <w:color w:val="000000"/>
                <w:kern w:val="0"/>
                <w:sz w:val="24"/>
              </w:rPr>
              <w:t>分。每缺少一项或每有一项有缺陷（缺陷是指存在项目名称错误、地点区域错误、内容与本项目需求无关、方案内容矛盾或表述前后不一致、仅有框架或标题、适用的标准（方法）错误、明显复制其他项目内容等任意一种情形）扣</w:t>
            </w:r>
            <w:r>
              <w:rPr>
                <w:rFonts w:ascii="仿宋" w:hAnsi="仿宋" w:eastAsia="仿宋" w:cs="宋体"/>
                <w:color w:val="000000"/>
                <w:kern w:val="0"/>
                <w:sz w:val="24"/>
              </w:rPr>
              <w:t>1.5</w:t>
            </w:r>
            <w:r>
              <w:rPr>
                <w:rFonts w:hint="eastAsia" w:ascii="仿宋" w:hAnsi="仿宋" w:eastAsia="仿宋" w:cs="宋体"/>
                <w:color w:val="000000"/>
                <w:kern w:val="0"/>
                <w:sz w:val="24"/>
              </w:rPr>
              <w:t>分，扣完为止。</w:t>
            </w:r>
          </w:p>
          <w:p>
            <w:pPr>
              <w:spacing w:after="0" w:line="360" w:lineRule="auto"/>
              <w:rPr>
                <w:rFonts w:ascii="仿宋" w:hAnsi="仿宋" w:eastAsia="仿宋" w:cs="仿宋_GB2312"/>
                <w:color w:val="000000"/>
                <w:sz w:val="24"/>
              </w:rPr>
            </w:pPr>
            <w:r>
              <w:rPr>
                <w:rFonts w:hint="eastAsia" w:ascii="仿宋" w:hAnsi="仿宋" w:eastAsia="仿宋" w:cs="宋体"/>
                <w:color w:val="000000"/>
                <w:kern w:val="0"/>
                <w:sz w:val="24"/>
              </w:rPr>
              <w:t>在满足以上要求的基础上，供应商提出针对售后服务方案有利的合理化措施且被评审专家认可的（合理化的措施不能存在：不适用项目实际情况的情形、凭空编造、套用其他项目方案内容、方案中内容前后不一致、前后逻辑错误、涉及的规范及标准错误、地点区域错误、不符合项目实际情况等），每有一项加</w:t>
            </w:r>
            <w:r>
              <w:rPr>
                <w:rFonts w:ascii="仿宋" w:hAnsi="仿宋" w:eastAsia="仿宋" w:cs="宋体"/>
                <w:color w:val="000000"/>
                <w:kern w:val="0"/>
                <w:sz w:val="24"/>
              </w:rPr>
              <w:t>1</w:t>
            </w:r>
            <w:r>
              <w:rPr>
                <w:rFonts w:hint="eastAsia" w:ascii="仿宋" w:hAnsi="仿宋" w:eastAsia="仿宋" w:cs="宋体"/>
                <w:color w:val="000000"/>
                <w:kern w:val="0"/>
                <w:sz w:val="24"/>
              </w:rPr>
              <w:t>分，最多加</w:t>
            </w:r>
            <w:r>
              <w:rPr>
                <w:rFonts w:ascii="仿宋" w:hAnsi="仿宋" w:eastAsia="仿宋" w:cs="宋体"/>
                <w:color w:val="000000"/>
                <w:kern w:val="0"/>
                <w:sz w:val="24"/>
              </w:rPr>
              <w:t>2</w:t>
            </w:r>
            <w:r>
              <w:rPr>
                <w:rFonts w:hint="eastAsia" w:ascii="仿宋" w:hAnsi="仿宋" w:eastAsia="仿宋" w:cs="宋体"/>
                <w:color w:val="000000"/>
                <w:kern w:val="0"/>
                <w:sz w:val="24"/>
              </w:rPr>
              <w:t>分。</w:t>
            </w:r>
          </w:p>
        </w:tc>
        <w:tc>
          <w:tcPr>
            <w:tcW w:w="1405" w:type="dxa"/>
            <w:noWrap w:val="0"/>
            <w:vAlign w:val="center"/>
          </w:tcPr>
          <w:p>
            <w:pPr>
              <w:spacing w:after="0" w:line="360" w:lineRule="auto"/>
              <w:rPr>
                <w:rFonts w:ascii="仿宋" w:hAnsi="仿宋" w:eastAsia="仿宋" w:cs="仿宋"/>
                <w:color w:val="000000"/>
                <w:kern w:val="0"/>
                <w:sz w:val="24"/>
              </w:rPr>
            </w:pPr>
          </w:p>
        </w:tc>
      </w:tr>
    </w:tbl>
    <w:p>
      <w:pPr>
        <w:pStyle w:val="4"/>
        <w:tabs>
          <w:tab w:val="left" w:pos="360"/>
        </w:tabs>
        <w:spacing w:before="24" w:beforeLines="0" w:after="24" w:afterLines="0" w:line="360" w:lineRule="auto"/>
        <w:rPr>
          <w:rFonts w:hint="eastAsia" w:ascii="仿宋" w:hAnsi="仿宋" w:eastAsia="仿宋" w:cs="仿宋"/>
          <w:b/>
          <w:color w:val="000000"/>
          <w:szCs w:val="24"/>
        </w:rPr>
      </w:pPr>
    </w:p>
    <w:p>
      <w:pPr>
        <w:pStyle w:val="4"/>
        <w:tabs>
          <w:tab w:val="left" w:pos="360"/>
        </w:tabs>
        <w:spacing w:before="24" w:beforeLines="0" w:after="24" w:afterLines="0" w:line="360" w:lineRule="auto"/>
        <w:rPr>
          <w:rFonts w:hint="eastAsia" w:ascii="仿宋" w:hAnsi="仿宋" w:eastAsia="仿宋" w:cs="仿宋"/>
          <w:b/>
          <w:color w:val="000000"/>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OWNiYzg4OTM1NWI0YzlkYTFlODQ1YzliYTRiYWMifQ=="/>
  </w:docVars>
  <w:rsids>
    <w:rsidRoot w:val="4E084F8F"/>
    <w:rsid w:val="018A0010"/>
    <w:rsid w:val="0AD107BC"/>
    <w:rsid w:val="2AAF7EDB"/>
    <w:rsid w:val="33562B59"/>
    <w:rsid w:val="4E084F8F"/>
    <w:rsid w:val="665A4F73"/>
    <w:rsid w:val="724E47ED"/>
    <w:rsid w:val="7581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U_正文2"/>
    <w:basedOn w:val="1"/>
    <w:qFormat/>
    <w:uiPriority w:val="0"/>
    <w:pPr>
      <w:spacing w:before="10" w:beforeLines="10" w:after="10" w:afterLines="10" w:line="300" w:lineRule="auto"/>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2024-05-07T07:42:00Z</dcterms:created>
  <dc:creator>WPS_1644577090</dc:creator>
  <cp:lastModifiedBy>Administrator</cp:lastModifiedBy>
  <dcterms:modified xsi:type="dcterms:W3CDTF">2024-05-08T07:26:50Z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55BF7AA7439949D685C04DF03C6E3818_11</vt:lpwstr>
  </property>
</Properties>
</file>