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69" w:name="_GoBack"/>
      <w:bookmarkEnd w:id="69"/>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96475"/>
      <w:bookmarkStart w:id="4" w:name="_Toc15377193"/>
      <w:bookmarkStart w:id="5" w:name="_Toc15378441"/>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巴中市中心医院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both"/>
        <w:outlineLvl w:val="0"/>
        <w:rPr>
          <w:rFonts w:ascii="方正小标宋简体" w:hAnsi="宋体" w:eastAsia="方正小标宋简体"/>
          <w:color w:val="000000"/>
          <w:sz w:val="52"/>
          <w:szCs w:val="52"/>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
      <w:pPr>
        <w:pStyle w:val="10"/>
        <w:adjustRightInd w:val="0"/>
        <w:snapToGrid w:val="0"/>
        <w:spacing w:before="0" w:line="440" w:lineRule="exact"/>
        <w:jc w:val="left"/>
        <w:rPr>
          <w:rFonts w:cstheme="minorBidi"/>
          <w:b/>
          <w:bCs/>
          <w:sz w:val="24"/>
          <w:szCs w:val="24"/>
        </w:rPr>
      </w:pPr>
      <w:r>
        <w:rPr>
          <w:rFonts w:hint="eastAsia"/>
          <w:b/>
          <w:bCs/>
          <w:sz w:val="24"/>
        </w:rPr>
        <w:t>第一部分</w:t>
      </w:r>
      <w:r>
        <w:rPr>
          <w:b/>
          <w:bCs/>
          <w:sz w:val="24"/>
        </w:rPr>
        <w:t xml:space="preserve"> </w:t>
      </w:r>
      <w:r>
        <w:rPr>
          <w:rFonts w:hint="eastAsia"/>
          <w:b/>
          <w:bCs/>
          <w:sz w:val="24"/>
        </w:rPr>
        <w:t>部门概况</w:t>
      </w:r>
    </w:p>
    <w:p>
      <w:pPr>
        <w:pStyle w:val="11"/>
        <w:adjustRightInd w:val="0"/>
        <w:snapToGrid w:val="0"/>
        <w:spacing w:line="440" w:lineRule="exact"/>
        <w:jc w:val="left"/>
        <w:rPr>
          <w:rFonts w:hint="eastAsia"/>
          <w:sz w:val="24"/>
          <w:lang w:eastAsia="zh-CN"/>
        </w:rPr>
      </w:pPr>
      <w:r>
        <w:rPr>
          <w:rFonts w:hint="eastAsia"/>
          <w:sz w:val="24"/>
        </w:rPr>
        <w:t>一、基本职能及主要工</w:t>
      </w:r>
      <w:r>
        <w:rPr>
          <w:rFonts w:hint="eastAsia"/>
          <w:sz w:val="24"/>
          <w:lang w:eastAsia="zh-CN"/>
        </w:rPr>
        <w:t>作</w:t>
      </w:r>
      <w:r>
        <w:tab/>
      </w:r>
      <w:r>
        <w:rPr>
          <w:rFonts w:hint="eastAsia"/>
          <w:lang w:val="en-US" w:eastAsia="zh-CN"/>
        </w:rPr>
        <w:t>4</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r>
        <w:tab/>
      </w:r>
      <w:r>
        <w:rPr>
          <w:rFonts w:hint="eastAsia"/>
          <w:lang w:val="en-US" w:eastAsia="zh-CN"/>
        </w:rPr>
        <w:t>4</w:t>
      </w:r>
    </w:p>
    <w:p>
      <w:pPr>
        <w:pStyle w:val="10"/>
        <w:adjustRightInd w:val="0"/>
        <w:snapToGrid w:val="0"/>
        <w:spacing w:before="0" w:line="440" w:lineRule="exact"/>
        <w:jc w:val="left"/>
        <w:rPr>
          <w:rFonts w:hint="eastAsia"/>
          <w:b/>
          <w:bCs/>
          <w:sz w:val="24"/>
          <w:lang w:val="en-US" w:eastAsia="zh-CN"/>
        </w:rPr>
      </w:pPr>
      <w:r>
        <w:rPr>
          <w:rFonts w:hint="eastAsia"/>
          <w:b/>
          <w:bCs/>
          <w:sz w:val="24"/>
        </w:rPr>
        <w:t>第二部分</w:t>
      </w:r>
      <w:r>
        <w:rPr>
          <w:rFonts w:hint="eastAsia"/>
          <w:b/>
          <w:bCs/>
          <w:sz w:val="24"/>
          <w:lang w:val="en-US" w:eastAsia="zh-CN"/>
        </w:rPr>
        <w:t xml:space="preserve"> 2020年度部门决算情况说明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tab/>
      </w:r>
      <w:r>
        <w:rPr>
          <w:rFonts w:hint="eastAsia"/>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tab/>
      </w:r>
      <w:r>
        <w:rPr>
          <w:rFonts w:hint="eastAsia"/>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tab/>
      </w:r>
      <w:r>
        <w:rPr>
          <w:rFonts w:hint="eastAsia"/>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tab/>
      </w:r>
      <w:r>
        <w:rPr>
          <w:rFonts w:hint="eastAsia"/>
          <w:lang w:val="en-US" w:eastAsia="zh-CN"/>
        </w:rPr>
        <w:t>7</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tab/>
      </w:r>
      <w:r>
        <w:rPr>
          <w:rFonts w:hint="eastAsia"/>
          <w:lang w:val="en-US" w:eastAsia="zh-CN"/>
        </w:rPr>
        <w:t>7</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tab/>
      </w:r>
      <w:r>
        <w:rPr>
          <w:rFonts w:hint="eastAsia"/>
          <w:lang w:val="en-US" w:eastAsia="zh-CN"/>
        </w:rPr>
        <w:t>10</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10</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tab/>
      </w:r>
      <w:r>
        <w:rPr>
          <w:rFonts w:hint="eastAsia"/>
          <w:lang w:val="en-US" w:eastAsia="zh-CN"/>
        </w:rPr>
        <w:t>12</w:t>
      </w:r>
    </w:p>
    <w:p>
      <w:pPr>
        <w:pStyle w:val="11"/>
        <w:adjustRightInd w:val="0"/>
        <w:snapToGrid w:val="0"/>
        <w:spacing w:line="440" w:lineRule="exact"/>
        <w:ind w:leftChars="0"/>
        <w:jc w:val="left"/>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12</w:t>
      </w:r>
    </w:p>
    <w:p>
      <w:pPr>
        <w:adjustRightInd w:val="0"/>
        <w:snapToGrid w:val="0"/>
        <w:spacing w:line="440" w:lineRule="exact"/>
        <w:ind w:left="0" w:leftChars="0" w:firstLine="420" w:firstLineChars="175"/>
        <w:jc w:val="left"/>
        <w:rPr>
          <w:rFonts w:ascii="仿宋" w:hAnsi="仿宋" w:eastAsia="仿宋" w:cstheme="minorBidi"/>
          <w:sz w:val="24"/>
          <w:lang w:val="en-US"/>
        </w:rPr>
      </w:pPr>
      <w:r>
        <w:rPr>
          <w:rFonts w:hint="eastAsia" w:ascii="仿宋" w:hAnsi="仿宋" w:eastAsia="仿宋" w:cs="Times New Roman"/>
          <w:kern w:val="2"/>
          <w:sz w:val="24"/>
          <w:szCs w:val="24"/>
          <w:lang w:val="en-US" w:eastAsia="zh-CN" w:bidi="ar-SA"/>
        </w:rPr>
        <w:t>十</w:t>
      </w:r>
      <w:r>
        <w:rPr>
          <w:rStyle w:val="16"/>
          <w:rFonts w:hint="eastAsia" w:ascii="仿宋" w:hAnsi="仿宋" w:eastAsia="仿宋"/>
          <w:color w:val="000000" w:themeColor="text1"/>
          <w:sz w:val="24"/>
          <w:u w:val="none"/>
          <w14:textFill>
            <w14:solidFill>
              <w14:schemeClr w14:val="tx1"/>
            </w14:solidFill>
          </w14:textFill>
        </w:rPr>
        <w:t>、</w:t>
      </w:r>
      <w:r>
        <w:rPr>
          <w:rFonts w:hint="eastAsia"/>
          <w:sz w:val="24"/>
        </w:rPr>
        <w:t>其他重要事项的情况说</w:t>
      </w:r>
      <w:r>
        <w:rPr>
          <w:rFonts w:hint="eastAsia"/>
          <w:sz w:val="24"/>
          <w:lang w:eastAsia="zh-CN"/>
        </w:rPr>
        <w:t>明</w:t>
      </w:r>
      <w:r>
        <w:rPr>
          <w:rFonts w:hint="eastAsia"/>
          <w:sz w:val="21"/>
          <w:szCs w:val="21"/>
          <w:shd w:val="clear" w:color="auto" w:fill="auto"/>
          <w:lang w:val="en-US" w:eastAsia="zh-CN"/>
        </w:rPr>
        <w:t>........................................................................................12</w:t>
      </w:r>
    </w:p>
    <w:p>
      <w:pPr>
        <w:pStyle w:val="10"/>
        <w:adjustRightInd w:val="0"/>
        <w:snapToGrid w:val="0"/>
        <w:spacing w:before="0" w:line="440" w:lineRule="exact"/>
        <w:jc w:val="left"/>
        <w:rPr>
          <w:rFonts w:hint="eastAsia" w:ascii="Times New Roman" w:hAnsi="Times New Roman" w:eastAsia="宋体" w:cs="Times New Roman"/>
          <w:kern w:val="2"/>
          <w:sz w:val="21"/>
          <w:szCs w:val="24"/>
          <w:lang w:val="en-US" w:eastAsia="zh-CN" w:bidi="ar-SA"/>
        </w:rPr>
      </w:pPr>
      <w:r>
        <w:rPr>
          <w:rFonts w:hint="eastAsia"/>
          <w:b/>
          <w:bCs/>
          <w:sz w:val="24"/>
        </w:rPr>
        <w:t>第三部分</w:t>
      </w:r>
      <w:r>
        <w:rPr>
          <w:b/>
          <w:bCs/>
          <w:sz w:val="24"/>
        </w:rPr>
        <w:t xml:space="preserve"> </w:t>
      </w:r>
      <w:r>
        <w:rPr>
          <w:rFonts w:hint="eastAsia"/>
          <w:b/>
          <w:bCs/>
          <w:sz w:val="24"/>
        </w:rPr>
        <w:t>名词解释</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19</w:t>
      </w:r>
    </w:p>
    <w:p>
      <w:pPr>
        <w:pStyle w:val="10"/>
        <w:adjustRightInd w:val="0"/>
        <w:snapToGrid w:val="0"/>
        <w:spacing w:before="0" w:line="440" w:lineRule="exact"/>
        <w:jc w:val="left"/>
        <w:rPr>
          <w:rFonts w:cstheme="minorBidi"/>
          <w:sz w:val="24"/>
          <w:szCs w:val="24"/>
        </w:rPr>
      </w:pPr>
      <w:r>
        <w:rPr>
          <w:rFonts w:hint="eastAsia"/>
          <w:b/>
          <w:bCs/>
          <w:sz w:val="24"/>
        </w:rPr>
        <w:t>第四部分</w:t>
      </w:r>
      <w:r>
        <w:rPr>
          <w:b/>
          <w:bCs/>
          <w:sz w:val="24"/>
        </w:rPr>
        <w:t xml:space="preserve"> </w:t>
      </w:r>
      <w:r>
        <w:rPr>
          <w:rFonts w:hint="eastAsia"/>
          <w:b/>
          <w:bCs/>
          <w:sz w:val="24"/>
        </w:rPr>
        <w:t>附件</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21</w:t>
      </w:r>
    </w:p>
    <w:p>
      <w:pPr>
        <w:pStyle w:val="11"/>
        <w:adjustRightInd w:val="0"/>
        <w:snapToGrid w:val="0"/>
        <w:spacing w:line="440" w:lineRule="exact"/>
        <w:jc w:val="left"/>
        <w:rPr>
          <w:rFonts w:hint="eastAsia" w:cs="Times New Roman"/>
          <w:kern w:val="2"/>
          <w:sz w:val="21"/>
          <w:szCs w:val="24"/>
          <w:lang w:val="en-US" w:eastAsia="zh-CN" w:bidi="ar-SA"/>
        </w:rPr>
      </w:pPr>
      <w:r>
        <w:rPr>
          <w:rFonts w:hint="eastAsia"/>
          <w:sz w:val="24"/>
        </w:rPr>
        <w:t>附件</w:t>
      </w:r>
      <w:r>
        <w:rPr>
          <w:sz w:val="24"/>
        </w:rPr>
        <w:t>1</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21</w:t>
      </w:r>
    </w:p>
    <w:p>
      <w:pPr>
        <w:pStyle w:val="10"/>
        <w:adjustRightInd w:val="0"/>
        <w:snapToGrid w:val="0"/>
        <w:spacing w:before="0" w:line="440" w:lineRule="exact"/>
        <w:ind w:firstLine="420"/>
        <w:jc w:val="left"/>
        <w:rPr>
          <w:rFonts w:hint="eastAsia" w:cs="Times New Roman"/>
          <w:kern w:val="2"/>
          <w:sz w:val="21"/>
          <w:szCs w:val="24"/>
          <w:lang w:val="en-US" w:eastAsia="zh-CN" w:bidi="ar-SA"/>
        </w:rPr>
      </w:pPr>
      <w:r>
        <w:rPr>
          <w:rFonts w:hint="eastAsia" w:ascii="Times New Roman" w:hAnsi="Times New Roman" w:eastAsia="宋体" w:cs="Times New Roman"/>
          <w:kern w:val="2"/>
          <w:sz w:val="24"/>
          <w:szCs w:val="24"/>
          <w:lang w:val="en-US" w:eastAsia="zh-CN" w:bidi="ar-SA"/>
        </w:rPr>
        <w:t>附件2</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24</w:t>
      </w:r>
    </w:p>
    <w:p>
      <w:pPr>
        <w:pStyle w:val="10"/>
        <w:adjustRightInd w:val="0"/>
        <w:snapToGrid w:val="0"/>
        <w:spacing w:before="0" w:line="440" w:lineRule="exact"/>
        <w:jc w:val="left"/>
        <w:rPr>
          <w:rFonts w:cstheme="minorBidi"/>
          <w:sz w:val="24"/>
          <w:szCs w:val="24"/>
        </w:rPr>
      </w:pPr>
      <w:r>
        <w:rPr>
          <w:rFonts w:hint="eastAsia"/>
          <w:b/>
          <w:bCs/>
          <w:sz w:val="24"/>
        </w:rPr>
        <w:t>第五部分</w:t>
      </w:r>
      <w:r>
        <w:rPr>
          <w:b/>
          <w:bCs/>
          <w:sz w:val="24"/>
        </w:rPr>
        <w:t xml:space="preserve"> </w:t>
      </w:r>
      <w:r>
        <w:rPr>
          <w:rFonts w:hint="eastAsia"/>
          <w:b/>
          <w:bCs/>
          <w:sz w:val="24"/>
        </w:rPr>
        <w:t>附表</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一、收入支出决算总表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二、收入决算表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三、支出决算表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四、财政拨款收入支出决算总表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五、财政拨款支出决算明细表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六、一般公共预算财政拨款支出决算表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七、一般公共预算财政拨款支出决算明细表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八、一般公共预算财政拨款基本支出决算表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九、一般公共预算财政拨款项目支出决算表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十、一般公共预算财政拨款“三公”经费支出决算表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十一、政府性基金预算财政拨款收入支出决算表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sz w:val="24"/>
        </w:rPr>
      </w:pPr>
      <w:r>
        <w:rPr>
          <w:rFonts w:hint="eastAsia"/>
          <w:sz w:val="24"/>
        </w:rPr>
        <w:t>十二、政府性基金预算财政拨款“三公”经费支出决算表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rPr>
      </w:pPr>
      <w:r>
        <w:rPr>
          <w:rFonts w:hint="eastAsia"/>
          <w:sz w:val="24"/>
        </w:rPr>
        <w:t>十三、国有资本经营</w:t>
      </w:r>
      <w:r>
        <w:rPr>
          <w:rFonts w:hint="eastAsia"/>
          <w:sz w:val="24"/>
          <w:lang w:eastAsia="zh-CN"/>
        </w:rPr>
        <w:t>预算财政拨款收入支出</w:t>
      </w:r>
      <w:r>
        <w:rPr>
          <w:rFonts w:hint="eastAsia"/>
          <w:sz w:val="24"/>
        </w:rPr>
        <w:t>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pStyle w:val="11"/>
        <w:adjustRightInd w:val="0"/>
        <w:snapToGrid w:val="0"/>
        <w:spacing w:line="440" w:lineRule="exact"/>
        <w:jc w:val="left"/>
        <w:rPr>
          <w:rFonts w:hint="eastAsia" w:cs="Times New Roman"/>
          <w:kern w:val="2"/>
          <w:sz w:val="21"/>
          <w:szCs w:val="24"/>
          <w:lang w:val="en-US" w:eastAsia="zh-CN" w:bidi="ar-SA"/>
        </w:rPr>
      </w:pPr>
      <w:bookmarkStart w:id="12" w:name="_Toc15377196"/>
      <w:bookmarkStart w:id="13" w:name="_Toc15396599"/>
      <w:r>
        <w:rPr>
          <w:rFonts w:hint="eastAsia"/>
          <w:sz w:val="24"/>
        </w:rPr>
        <w:t>十</w:t>
      </w:r>
      <w:r>
        <w:rPr>
          <w:rFonts w:hint="eastAsia"/>
          <w:sz w:val="24"/>
          <w:lang w:eastAsia="zh-CN"/>
        </w:rPr>
        <w:t>四</w:t>
      </w:r>
      <w:r>
        <w:rPr>
          <w:rFonts w:hint="eastAsia"/>
          <w:sz w:val="24"/>
        </w:rPr>
        <w:t>、国有资本经营</w:t>
      </w:r>
      <w:r>
        <w:rPr>
          <w:rFonts w:hint="eastAsia"/>
          <w:sz w:val="24"/>
          <w:lang w:eastAsia="zh-CN"/>
        </w:rPr>
        <w:t>预算财政拨款支出</w:t>
      </w:r>
      <w:r>
        <w:rPr>
          <w:rFonts w:hint="eastAsia"/>
          <w:sz w:val="24"/>
        </w:rPr>
        <w:t>决算表</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26</w:t>
      </w:r>
    </w:p>
    <w:p>
      <w:pPr>
        <w:rPr>
          <w:rFonts w:hint="eastAsia"/>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pStyle w:val="2"/>
        <w:ind w:firstLine="1760" w:firstLineChars="400"/>
        <w:jc w:val="both"/>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autoSpaceDE w:val="0"/>
        <w:autoSpaceDN w:val="0"/>
        <w:adjustRightInd w:val="0"/>
        <w:ind w:firstLine="640" w:firstLineChars="200"/>
        <w:jc w:val="left"/>
        <w:rPr>
          <w:rFonts w:hint="default" w:ascii="仿宋_GB2312" w:eastAsia="仿宋_GB2312" w:cs="仿宋_GB2312"/>
          <w:kern w:val="0"/>
          <w:sz w:val="32"/>
          <w:szCs w:val="32"/>
        </w:rPr>
      </w:pPr>
      <w:bookmarkStart w:id="16" w:name="_Toc15377198"/>
      <w:bookmarkStart w:id="17" w:name="_Toc15378445"/>
      <w:r>
        <w:rPr>
          <w:rFonts w:hint="eastAsia" w:ascii="仿宋" w:hAnsi="仿宋" w:eastAsia="仿宋"/>
          <w:bCs/>
          <w:color w:val="000000"/>
          <w:sz w:val="32"/>
          <w:szCs w:val="32"/>
        </w:rPr>
        <w:t>（一）主要职能。</w:t>
      </w:r>
      <w:r>
        <w:rPr>
          <w:rFonts w:hint="default" w:ascii="仿宋_GB2312" w:eastAsia="仿宋_GB2312" w:cs="仿宋_GB2312"/>
          <w:kern w:val="0"/>
          <w:sz w:val="32"/>
          <w:szCs w:val="32"/>
        </w:rPr>
        <w:t> </w:t>
      </w:r>
    </w:p>
    <w:p>
      <w:pPr>
        <w:autoSpaceDE w:val="0"/>
        <w:autoSpaceDN w:val="0"/>
        <w:adjustRightInd w:val="0"/>
        <w:ind w:firstLine="960" w:firstLineChars="300"/>
        <w:jc w:val="left"/>
        <w:rPr>
          <w:rFonts w:hint="eastAsia" w:ascii="仿宋" w:hAnsi="仿宋" w:eastAsia="仿宋"/>
          <w:bCs/>
          <w:color w:val="000000"/>
          <w:sz w:val="32"/>
          <w:szCs w:val="32"/>
        </w:rPr>
      </w:pPr>
      <w:r>
        <w:rPr>
          <w:rFonts w:hint="default" w:ascii="仿宋_GB2312" w:eastAsia="仿宋_GB2312" w:cs="仿宋_GB2312"/>
          <w:kern w:val="0"/>
          <w:sz w:val="32"/>
          <w:szCs w:val="32"/>
        </w:rPr>
        <w:t>巴中市中心医院是集医疗、教学、科研、预防、保健为一体的一家三级甲等医院，按政府安排承办巴中市中心医院传染病分院、紧急救援中心等公共卫生项目。医疗服务对象为巴中市及周边地区人群，还承担全市的突发公共卫生事件的医疗救助工作。</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autoSpaceDE w:val="0"/>
        <w:autoSpaceDN w:val="0"/>
        <w:adjustRightInd w:val="0"/>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巴中市中心医院把</w:t>
      </w:r>
      <w:r>
        <w:rPr>
          <w:rFonts w:hint="eastAsia" w:ascii="仿宋_GB2312" w:eastAsia="仿宋_GB2312" w:cs="仿宋_GB2312"/>
          <w:kern w:val="0"/>
          <w:sz w:val="32"/>
          <w:szCs w:val="32"/>
        </w:rPr>
        <w:t>政治建设放在首位，党建引领成效明显</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以提质增量为重点，医疗业务大幅提升</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以精细化管理为核心，管理实效明显提高</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以深化改革为动力，患者满意度明显提高</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作为新型冠状病毒感染的肺炎医疗救治市级定点医院，全体医院员工投入到疫情防控工作中。</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autoSpaceDE w:val="0"/>
        <w:autoSpaceDN w:val="0"/>
        <w:adjustRightInd w:val="0"/>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巴中市中心医院是巴中市财政局社保科对口管理的一级预算拨款定额定项补助单位</w:t>
      </w:r>
      <w:r>
        <w:rPr>
          <w:rFonts w:hint="eastAsia" w:ascii="仿宋_GB2312" w:eastAsia="仿宋_GB2312" w:cs="仿宋_GB2312"/>
          <w:kern w:val="0"/>
          <w:sz w:val="32"/>
          <w:szCs w:val="32"/>
          <w:lang w:eastAsia="zh-CN"/>
        </w:rPr>
        <w:t>，无下属二级单位。</w:t>
      </w:r>
    </w:p>
    <w:p>
      <w:pPr>
        <w:rPr>
          <w:rFonts w:hint="eastAsia" w:ascii="仿宋_GB2312" w:eastAsia="仿宋_GB2312" w:cs="仿宋_GB2312"/>
          <w:kern w:val="0"/>
          <w:sz w:val="32"/>
          <w:szCs w:val="32"/>
          <w:lang w:eastAsia="zh-CN"/>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w:t>
      </w:r>
      <w:r>
        <w:rPr>
          <w:rStyle w:val="25"/>
          <w:rFonts w:hint="eastAsia" w:ascii="黑体" w:hAnsi="黑体" w:eastAsia="黑体"/>
          <w:b w:val="0"/>
          <w:bCs w:val="0"/>
          <w:lang w:val="en-US" w:eastAsia="zh-CN"/>
        </w:rPr>
        <w:t>20</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autoSpaceDE w:val="0"/>
        <w:autoSpaceDN w:val="0"/>
        <w:adjustRightInd w:val="0"/>
        <w:ind w:firstLine="960" w:firstLineChars="3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总收入96035.63万元，去年100316.76万元，较去年减少4281.13万元，同比增幅-4.27%；2020年总支出96204.35万元，去年102667.34万元，同比增幅-6.30%。今年事业决算收入和支出同比减少主要是因为新冠肺炎疫情爆发，大部分患者为了规避感染风险，一般小病选择就近就诊或转向网络咨询，所以医院患者就诊量大幅下降；收入同比减少，支出也就同比减少。</w:t>
      </w:r>
    </w:p>
    <w:p>
      <w:pPr>
        <w:ind w:firstLine="525" w:firstLineChars="250"/>
        <w:rPr>
          <w:rFonts w:ascii="仿宋_GB2312" w:eastAsia="仿宋_GB2312"/>
          <w:color w:val="000000"/>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ind w:firstLine="800" w:firstLineChars="25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lang w:eastAsia="zh-CN"/>
        </w:rPr>
        <w:t>年本年收入合计</w:t>
      </w:r>
      <w:r>
        <w:rPr>
          <w:rFonts w:hint="eastAsia" w:ascii="仿宋_GB2312" w:eastAsia="仿宋_GB2312" w:cs="仿宋_GB2312"/>
          <w:kern w:val="0"/>
          <w:sz w:val="32"/>
          <w:szCs w:val="32"/>
          <w:lang w:val="en-US" w:eastAsia="zh-CN"/>
        </w:rPr>
        <w:t>96035.63</w:t>
      </w:r>
      <w:r>
        <w:rPr>
          <w:rFonts w:hint="eastAsia" w:ascii="仿宋_GB2312" w:eastAsia="仿宋_GB2312" w:cs="仿宋_GB2312"/>
          <w:kern w:val="0"/>
          <w:sz w:val="32"/>
          <w:szCs w:val="32"/>
          <w:lang w:eastAsia="zh-CN"/>
        </w:rPr>
        <w:t>万元，其中：一般公共预算财政拨款收入</w:t>
      </w:r>
      <w:r>
        <w:rPr>
          <w:rFonts w:hint="eastAsia" w:ascii="仿宋_GB2312" w:eastAsia="仿宋_GB2312" w:cs="仿宋_GB2312"/>
          <w:kern w:val="0"/>
          <w:sz w:val="32"/>
          <w:szCs w:val="32"/>
          <w:lang w:val="en-US" w:eastAsia="zh-CN"/>
        </w:rPr>
        <w:t>4558.34</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4.75</w:t>
      </w:r>
      <w:r>
        <w:rPr>
          <w:rFonts w:hint="eastAsia" w:ascii="仿宋_GB2312" w:eastAsia="仿宋_GB2312" w:cs="仿宋_GB2312"/>
          <w:kern w:val="0"/>
          <w:sz w:val="32"/>
          <w:szCs w:val="32"/>
          <w:lang w:eastAsia="zh-CN"/>
        </w:rPr>
        <w:t>%；政府性基金预算财政拨款收入</w:t>
      </w:r>
      <w:r>
        <w:rPr>
          <w:rFonts w:hint="eastAsia" w:ascii="仿宋_GB2312" w:eastAsia="仿宋_GB2312" w:cs="仿宋_GB2312"/>
          <w:kern w:val="0"/>
          <w:sz w:val="32"/>
          <w:szCs w:val="32"/>
          <w:lang w:val="en-US" w:eastAsia="zh-CN"/>
        </w:rPr>
        <w:t>1624</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1.69</w:t>
      </w:r>
      <w:r>
        <w:rPr>
          <w:rFonts w:hint="eastAsia" w:ascii="仿宋_GB2312" w:eastAsia="仿宋_GB2312" w:cs="仿宋_GB2312"/>
          <w:kern w:val="0"/>
          <w:sz w:val="32"/>
          <w:szCs w:val="32"/>
          <w:lang w:eastAsia="zh-CN"/>
        </w:rPr>
        <w:t>%；上级补助收入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%；事业收入</w:t>
      </w:r>
      <w:r>
        <w:rPr>
          <w:rFonts w:hint="eastAsia" w:ascii="仿宋_GB2312" w:eastAsia="仿宋_GB2312" w:cs="仿宋_GB2312"/>
          <w:kern w:val="0"/>
          <w:sz w:val="32"/>
          <w:szCs w:val="32"/>
          <w:lang w:val="en-US" w:eastAsia="zh-CN"/>
        </w:rPr>
        <w:t>88690.21</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92.35</w:t>
      </w:r>
      <w:r>
        <w:rPr>
          <w:rFonts w:hint="eastAsia" w:ascii="仿宋_GB2312" w:eastAsia="仿宋_GB2312" w:cs="仿宋_GB2312"/>
          <w:kern w:val="0"/>
          <w:sz w:val="32"/>
          <w:szCs w:val="32"/>
          <w:lang w:eastAsia="zh-CN"/>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%；附属单位上缴收入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%；其他收入</w:t>
      </w:r>
      <w:r>
        <w:rPr>
          <w:rFonts w:hint="eastAsia" w:ascii="仿宋_GB2312" w:eastAsia="仿宋_GB2312" w:cs="仿宋_GB2312"/>
          <w:kern w:val="0"/>
          <w:sz w:val="32"/>
          <w:szCs w:val="32"/>
          <w:lang w:val="en-US" w:eastAsia="zh-CN"/>
        </w:rPr>
        <w:t>1163.08</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1.21</w:t>
      </w:r>
      <w:r>
        <w:rPr>
          <w:rFonts w:hint="eastAsia" w:ascii="仿宋_GB2312" w:eastAsia="仿宋_GB2312" w:cs="仿宋_GB2312"/>
          <w:kern w:val="0"/>
          <w:sz w:val="32"/>
          <w:szCs w:val="32"/>
          <w:lang w:eastAsia="zh-CN"/>
        </w:rPr>
        <w:t>%。</w:t>
      </w:r>
    </w:p>
    <w:p>
      <w:pPr>
        <w:spacing w:line="240" w:lineRule="auto"/>
        <w:rPr>
          <w:rFonts w:hint="eastAsia" w:ascii="仿宋_GB2312" w:eastAsia="仿宋_GB2312"/>
          <w:color w:val="FF0000"/>
          <w:sz w:val="32"/>
          <w:szCs w:val="32"/>
          <w:lang w:eastAsia="zh-CN"/>
        </w:rPr>
      </w:pPr>
      <w:r>
        <w:rPr>
          <w:rFonts w:hint="eastAsia"/>
          <w:lang w:val="en-US" w:eastAsia="zh-CN"/>
        </w:rPr>
        <w:t xml:space="preserve">    </w:t>
      </w:r>
      <w:r>
        <w:drawing>
          <wp:inline distT="0" distB="0" distL="114300" distR="114300">
            <wp:extent cx="4638675" cy="2333625"/>
            <wp:effectExtent l="5080" t="4445" r="4445" b="508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uto"/>
        <w:rPr>
          <w:rFonts w:hint="eastAsia" w:ascii="仿宋_GB2312" w:eastAsia="仿宋_GB2312"/>
          <w:color w:val="FF0000"/>
          <w:sz w:val="32"/>
          <w:szCs w:val="32"/>
          <w:lang w:eastAsia="zh-CN"/>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2020年医院本年总支出96204.35万元，基本支出90765.95万元，占94.35%；项目支出5438.40万元，占5.65%；上缴上级支出0万元，占0%；经营支出0万元，占0%；对附属单位补助支出0万元，占0%。</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420" w:firstLineChars="200"/>
        <w:jc w:val="left"/>
        <w:rPr>
          <w:rFonts w:hint="eastAsia" w:ascii="仿宋_GB2312" w:eastAsia="仿宋_GB2312" w:cs="仿宋_GB2312"/>
          <w:kern w:val="0"/>
          <w:sz w:val="32"/>
          <w:szCs w:val="32"/>
          <w:lang w:eastAsia="zh-CN"/>
        </w:rPr>
      </w:pPr>
      <w:r>
        <w:drawing>
          <wp:inline distT="0" distB="0" distL="114300" distR="114300">
            <wp:extent cx="4514850" cy="229552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医院本年总支出96204.35万元，去年102667.34万元，增幅-6.30%。决算总支出下降主要是因为新冠肺炎疫情爆发，大部分患者为了规避感染风险，一般小病选择就近就诊或转向网络咨询，所以医院患者就诊量大幅下降。医疗收入同比下降，相应支出也就同比下降。</w:t>
      </w:r>
    </w:p>
    <w:p>
      <w:pPr>
        <w:ind w:firstLine="800" w:firstLineChars="250"/>
        <w:rPr>
          <w:rFonts w:hint="eastAsia" w:ascii="仿宋_GB2312" w:eastAsia="仿宋_GB2312" w:cs="仿宋_GB2312"/>
          <w:kern w:val="0"/>
          <w:sz w:val="32"/>
          <w:szCs w:val="32"/>
          <w:lang w:val="en-US" w:eastAsia="zh-CN"/>
        </w:rPr>
      </w:pPr>
    </w:p>
    <w:p>
      <w:pPr>
        <w:numPr>
          <w:ilvl w:val="0"/>
          <w:numId w:val="2"/>
        </w:numPr>
        <w:spacing w:line="600" w:lineRule="exact"/>
        <w:ind w:firstLine="640" w:firstLineChars="200"/>
        <w:outlineLvl w:val="1"/>
        <w:rPr>
          <w:rStyle w:val="26"/>
          <w:rFonts w:hint="eastAsia" w:ascii="黑体" w:hAnsi="黑体" w:eastAsia="黑体"/>
          <w:b w:val="0"/>
        </w:rPr>
      </w:pPr>
      <w:bookmarkStart w:id="30" w:name="_Toc15377208"/>
      <w:bookmarkStart w:id="31" w:name="_Toc15396606"/>
      <w:r>
        <w:rPr>
          <w:rFonts w:hint="eastAsia" w:ascii="黑体" w:hAnsi="黑体" w:eastAsia="黑体"/>
          <w:color w:val="000000"/>
          <w:sz w:val="32"/>
          <w:szCs w:val="32"/>
        </w:rPr>
        <w:t>财</w:t>
      </w:r>
      <w:r>
        <w:rPr>
          <w:rStyle w:val="26"/>
          <w:rFonts w:hint="eastAsia" w:ascii="黑体" w:hAnsi="黑体" w:eastAsia="黑体"/>
          <w:b w:val="0"/>
        </w:rPr>
        <w:t>政拨款收入支出决算总体情况说明</w:t>
      </w:r>
      <w:bookmarkEnd w:id="30"/>
      <w:bookmarkEnd w:id="31"/>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2020年财政拨款收入总计6182.34万元与2019年相比，财政拨款收入增加2725.34万元，增长率78.84%。</w:t>
      </w:r>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2020年财政拨款支出总计5907.12万元。与2019年相比财政拨款支出总计增加2429.12万元，增长69.84%。</w:t>
      </w:r>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财政拨款收入、支出同比增长较多主要是政府因抗击新冠肺炎疫情下达了财政拨款。</w:t>
      </w:r>
    </w:p>
    <w:p>
      <w:pPr>
        <w:ind w:firstLine="525" w:firstLineChars="250"/>
        <w:rPr>
          <w:rFonts w:hint="eastAsia" w:ascii="仿宋_GB2312" w:eastAsia="仿宋_GB2312" w:cs="仿宋_GB2312"/>
          <w:kern w:val="0"/>
          <w:sz w:val="32"/>
          <w:szCs w:val="32"/>
          <w:lang w:val="en-US" w:eastAsia="zh-CN"/>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240" w:lineRule="auto"/>
        <w:ind w:firstLine="640"/>
        <w:rPr>
          <w:rFonts w:hint="eastAsia" w:ascii="仿宋" w:hAnsi="仿宋" w:eastAsia="仿宋"/>
          <w:b/>
          <w:color w:val="00B050"/>
          <w:sz w:val="32"/>
          <w:szCs w:val="32"/>
          <w:lang w:eastAsia="zh-CN"/>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2020年一般公共预算财政拨款支出4283.12万元，占本年支出合计的4.45%。与2019年相比，一般公共预算财政拨款增加805.12万元，增长23.15%。主要变动原因是为抗击新冠疫情支出的财政拨款。</w:t>
      </w:r>
    </w:p>
    <w:p>
      <w:pPr>
        <w:spacing w:line="240" w:lineRule="auto"/>
        <w:ind w:firstLine="640" w:firstLineChars="200"/>
        <w:rPr>
          <w:rFonts w:hint="eastAsia" w:ascii="仿宋" w:hAnsi="仿宋" w:eastAsia="仿宋"/>
          <w:color w:val="000000"/>
          <w:sz w:val="32"/>
          <w:szCs w:val="32"/>
          <w:lang w:eastAsia="zh-CN"/>
        </w:rPr>
      </w:pPr>
    </w:p>
    <w:p>
      <w:pPr>
        <w:spacing w:line="24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03800" cy="2770505"/>
            <wp:effectExtent l="0" t="0" r="6350" b="10795"/>
            <wp:docPr id="12" name="图片 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未命名"/>
                    <pic:cNvPicPr>
                      <a:picLocks noChangeAspect="1"/>
                    </pic:cNvPicPr>
                  </pic:nvPicPr>
                  <pic:blipFill>
                    <a:blip r:embed="rId10"/>
                    <a:srcRect l="542" t="1807" r="23184" b="21437"/>
                    <a:stretch>
                      <a:fillRect/>
                    </a:stretch>
                  </pic:blipFill>
                  <pic:spPr>
                    <a:xfrm>
                      <a:off x="0" y="0"/>
                      <a:ext cx="5003800" cy="2770505"/>
                    </a:xfrm>
                    <a:prstGeom prst="rect">
                      <a:avLst/>
                    </a:prstGeom>
                  </pic:spPr>
                </pic:pic>
              </a:graphicData>
            </a:graphic>
          </wp:inline>
        </w:drawing>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pPr>
      <w:r>
        <w:rPr>
          <w:rFonts w:hint="eastAsia" w:ascii="仿宋_GB2312" w:eastAsia="仿宋_GB2312" w:cs="仿宋_GB2312"/>
          <w:kern w:val="0"/>
          <w:sz w:val="32"/>
          <w:szCs w:val="32"/>
          <w:lang w:val="en-US" w:eastAsia="zh-CN"/>
        </w:rPr>
        <w:t>2020年一般公共预算财政拨款支出4283.12万元，主要用于以下方面:一般公共服务（类）支出8万元，占0.19%（其中引进人才费用8万元）；教育支出（类）0万元，占0%；科学技术（类）支出0万元，占0%；文化旅游体育与传媒（类）支出0万元，占0%；社会保障和就业（类）支出0万元，占0%；卫生健康支出4275.12万元，占99.81%（ 其中综合医院2505万元、基本公共卫生服务19.04万元、重大公共卫生专项443.67万元、突发公共卫生事件应急处理586.67万元、 其他卫生健康支出720.74万元）；住房保障支出0万元，占0%。</w:t>
      </w:r>
    </w:p>
    <w:p>
      <w:pPr>
        <w:spacing w:line="240" w:lineRule="auto"/>
        <w:rPr>
          <w:rFonts w:hint="eastAsia" w:eastAsia="宋体"/>
          <w:lang w:eastAsia="zh-CN"/>
        </w:rPr>
      </w:pPr>
    </w:p>
    <w:p>
      <w:pPr>
        <w:spacing w:line="240" w:lineRule="auto"/>
        <w:rPr>
          <w:rFonts w:ascii="仿宋" w:hAnsi="仿宋" w:eastAsia="仿宋"/>
          <w:color w:val="000000"/>
          <w:sz w:val="32"/>
          <w:szCs w:val="32"/>
        </w:rPr>
      </w:pPr>
      <w:r>
        <w:rPr>
          <w:rFonts w:hint="eastAsia" w:eastAsia="宋体"/>
          <w:lang w:eastAsia="zh-CN"/>
        </w:rPr>
        <w:drawing>
          <wp:inline distT="0" distB="0" distL="114300" distR="114300">
            <wp:extent cx="4913630" cy="2851785"/>
            <wp:effectExtent l="0" t="0" r="1270" b="5715"/>
            <wp:docPr id="15" name="图片 15" descr="未命名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未命名4"/>
                    <pic:cNvPicPr>
                      <a:picLocks noChangeAspect="1"/>
                    </pic:cNvPicPr>
                  </pic:nvPicPr>
                  <pic:blipFill>
                    <a:blip r:embed="rId11"/>
                    <a:srcRect r="24509" b="24026"/>
                    <a:stretch>
                      <a:fillRect/>
                    </a:stretch>
                  </pic:blipFill>
                  <pic:spPr>
                    <a:xfrm>
                      <a:off x="0" y="0"/>
                      <a:ext cx="4913630" cy="2851785"/>
                    </a:xfrm>
                    <a:prstGeom prst="rect">
                      <a:avLst/>
                    </a:prstGeom>
                  </pic:spPr>
                </pic:pic>
              </a:graphicData>
            </a:graphic>
          </wp:inline>
        </w:drawing>
      </w:r>
    </w:p>
    <w:p>
      <w:pPr>
        <w:spacing w:line="600" w:lineRule="exact"/>
        <w:ind w:firstLine="643" w:firstLineChars="200"/>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numPr>
          <w:ilvl w:val="0"/>
          <w:numId w:val="0"/>
        </w:numPr>
        <w:spacing w:line="600" w:lineRule="exact"/>
        <w:ind w:firstLine="320" w:firstLineChars="1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2020年一般公共预算支出决算数为4283.12万元，完成预算100%。其中：</w:t>
      </w:r>
    </w:p>
    <w:p>
      <w:pPr>
        <w:numPr>
          <w:ilvl w:val="0"/>
          <w:numId w:val="0"/>
        </w:numPr>
        <w:spacing w:line="600" w:lineRule="exact"/>
        <w:ind w:firstLine="321" w:firstLineChars="100"/>
        <w:rPr>
          <w:rFonts w:hint="eastAsia" w:ascii="仿宋_GB2312" w:eastAsia="仿宋_GB2312" w:cs="仿宋_GB2312"/>
          <w:kern w:val="0"/>
          <w:sz w:val="32"/>
          <w:szCs w:val="32"/>
          <w:lang w:val="en-US"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人力资源事务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引进人才费用</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Fonts w:hint="eastAsia" w:ascii="仿宋_GB2312" w:eastAsia="仿宋_GB2312" w:cs="仿宋_GB2312"/>
          <w:kern w:val="0"/>
          <w:sz w:val="32"/>
          <w:szCs w:val="32"/>
          <w:lang w:val="en-US" w:eastAsia="zh-CN"/>
        </w:rPr>
        <w:t>支出决算为8万元，完成预算100%，引进人才费用8万元系2019年指标结转使用的。</w:t>
      </w:r>
    </w:p>
    <w:p>
      <w:pPr>
        <w:spacing w:line="600" w:lineRule="exact"/>
        <w:ind w:firstLine="321" w:firstLineChars="100"/>
        <w:rPr>
          <w:rFonts w:hint="eastAsia" w:ascii="仿宋_GB2312" w:eastAsia="仿宋_GB2312" w:cs="仿宋_GB2312"/>
          <w:kern w:val="0"/>
          <w:sz w:val="32"/>
          <w:szCs w:val="32"/>
          <w:lang w:val="en-US" w:eastAsia="zh-CN"/>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公立医院</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综合医院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支出决算为2505万元，完成预算100%。</w:t>
      </w:r>
    </w:p>
    <w:p>
      <w:pPr>
        <w:spacing w:line="600" w:lineRule="exact"/>
        <w:ind w:firstLine="321" w:firstLineChars="100"/>
        <w:rPr>
          <w:rFonts w:hint="eastAsia" w:ascii="仿宋_GB2312" w:eastAsia="仿宋_GB2312" w:cs="仿宋_GB2312"/>
          <w:kern w:val="0"/>
          <w:sz w:val="32"/>
          <w:szCs w:val="32"/>
          <w:lang w:val="en-US" w:eastAsia="zh-CN"/>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公立医院</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突发公共卫生事件应急处理</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支出决算为586.67万元，完成预算100%。</w:t>
      </w:r>
    </w:p>
    <w:p>
      <w:pPr>
        <w:numPr>
          <w:ilvl w:val="0"/>
          <w:numId w:val="0"/>
        </w:numPr>
        <w:spacing w:line="600" w:lineRule="exact"/>
        <w:ind w:firstLine="321" w:firstLineChars="100"/>
        <w:rPr>
          <w:rFonts w:hint="eastAsia" w:ascii="仿宋_GB2312" w:eastAsia="仿宋_GB2312" w:cs="仿宋_GB2312"/>
          <w:kern w:val="0"/>
          <w:sz w:val="32"/>
          <w:szCs w:val="32"/>
          <w:lang w:val="en-US" w:eastAsia="zh-CN"/>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公共卫生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基本公共卫生服务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支出决算为19.04万元，完成预算100%。</w:t>
      </w:r>
    </w:p>
    <w:p>
      <w:pPr>
        <w:numPr>
          <w:ilvl w:val="0"/>
          <w:numId w:val="0"/>
        </w:numPr>
        <w:spacing w:line="600" w:lineRule="exact"/>
        <w:ind w:firstLine="321" w:firstLineChars="100"/>
        <w:rPr>
          <w:rFonts w:hint="eastAsia" w:ascii="仿宋_GB2312" w:eastAsia="仿宋_GB2312" w:cs="仿宋_GB2312"/>
          <w:kern w:val="0"/>
          <w:sz w:val="32"/>
          <w:szCs w:val="32"/>
          <w:lang w:val="en-US" w:eastAsia="zh-CN"/>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公共卫生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重大卫生专项</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支出决算为443.67万元，完成预算100%。</w:t>
      </w:r>
    </w:p>
    <w:p>
      <w:pPr>
        <w:numPr>
          <w:ilvl w:val="0"/>
          <w:numId w:val="0"/>
        </w:numPr>
        <w:spacing w:line="600" w:lineRule="exact"/>
        <w:ind w:firstLine="321" w:firstLineChars="100"/>
        <w:rPr>
          <w:rFonts w:hint="eastAsia" w:ascii="仿宋_GB2312" w:eastAsia="仿宋_GB2312" w:cs="仿宋_GB2312"/>
          <w:kern w:val="0"/>
          <w:sz w:val="32"/>
          <w:szCs w:val="32"/>
          <w:lang w:val="en-US" w:eastAsia="zh-CN"/>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其他卫生健康支出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其他卫生健康支出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支出决算为720.74万元，完成预算100%。</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6"/>
        </w:rPr>
      </w:pPr>
      <w:bookmarkStart w:id="37" w:name="_Toc15396608"/>
      <w:bookmarkStart w:id="38" w:name="_Toc15377214"/>
      <w:r>
        <w:rPr>
          <w:rStyle w:val="26"/>
          <w:rFonts w:hint="eastAsia" w:ascii="黑体" w:hAnsi="黑体" w:eastAsia="黑体"/>
          <w:b w:val="0"/>
        </w:rPr>
        <w:t>六、一般公共预算财政拨款基本支出决算情况说明</w:t>
      </w:r>
      <w:bookmarkEnd w:id="37"/>
      <w:bookmarkEnd w:id="38"/>
      <w:r>
        <w:rPr>
          <w:rStyle w:val="26"/>
          <w:rFonts w:hint="eastAsia" w:ascii="黑体" w:hAnsi="黑体" w:eastAsia="黑体"/>
          <w:b w:val="0"/>
        </w:rPr>
        <w:tab/>
      </w:r>
    </w:p>
    <w:p>
      <w:pPr>
        <w:spacing w:line="600" w:lineRule="exact"/>
        <w:ind w:firstLine="64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一般公共预算财政拨款基本支出500万元，其中：人员经费500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eastAsia="仿宋_GB2312" w:cs="仿宋_GB2312"/>
          <w:kern w:val="0"/>
          <w:sz w:val="32"/>
          <w:szCs w:val="32"/>
          <w:lang w:val="en-US" w:eastAsia="zh-CN"/>
        </w:rPr>
        <w:br w:type="textWrapping"/>
      </w:r>
      <w:r>
        <w:rPr>
          <w:rFonts w:hint="eastAsia" w:ascii="仿宋_GB2312" w:eastAsia="仿宋_GB2312" w:cs="仿宋_GB2312"/>
          <w:kern w:val="0"/>
          <w:sz w:val="32"/>
          <w:szCs w:val="32"/>
          <w:lang w:val="en-US" w:eastAsia="zh-CN"/>
        </w:rPr>
        <w:t>　　日常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9" w:name="_Toc15377215"/>
      <w:bookmarkStart w:id="40"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2020年“三公”经费财政拨款支出决算为0万元，完成预算100%。2020年与2019年“三公”经费财政拨款支出决算数为0万元，都是因为年初无预算。</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2020年“三公”经费财政拨款支出决算中，因公出国（境）费支出决算0万元，占100%；公务用车购置及运行维护费支出决算0万元，占100%；公务接待费支出决算0万元，占100%。具体情况如下：</w:t>
      </w:r>
    </w:p>
    <w:p>
      <w:pPr>
        <w:numPr>
          <w:ilvl w:val="0"/>
          <w:numId w:val="3"/>
        </w:num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其中：公务用车购置支出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万元，完成预算</w:t>
      </w:r>
      <w:r>
        <w:rPr>
          <w:rFonts w:hint="eastAsia" w:ascii="仿宋_GB2312" w:eastAsia="仿宋_GB2312"/>
          <w:b/>
          <w:color w:val="000000"/>
          <w:sz w:val="32"/>
          <w:szCs w:val="32"/>
          <w:lang w:val="en-US" w:eastAsia="zh-CN"/>
        </w:rPr>
        <w:t>100</w:t>
      </w:r>
      <w:r>
        <w:rPr>
          <w:rFonts w:hint="eastAsia" w:ascii="仿宋_GB2312" w:eastAsia="仿宋_GB2312"/>
          <w:b/>
          <w:color w:val="000000"/>
          <w:sz w:val="32"/>
          <w:szCs w:val="32"/>
        </w:rPr>
        <w:t>%。</w:t>
      </w:r>
      <w:r>
        <w:rPr>
          <w:rFonts w:hint="eastAsia" w:ascii="仿宋_GB2312" w:eastAsia="仿宋_GB2312"/>
          <w:color w:val="000000"/>
          <w:sz w:val="32"/>
          <w:szCs w:val="32"/>
        </w:rPr>
        <w:t>公务接待费支出决算比201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%。其中：</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国内公务接待支出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外事接待支出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w:t>
      </w:r>
      <w:r>
        <w:rPr>
          <w:rFonts w:hint="eastAsia" w:ascii="仿宋_GB2312" w:eastAsia="仿宋_GB2312"/>
          <w:color w:val="000000"/>
          <w:sz w:val="32"/>
          <w:szCs w:val="32"/>
        </w:rPr>
        <w:t>，外事接待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3" w:name="_Toc15396610"/>
      <w:bookmarkStart w:id="44"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1624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w:t>
      </w:r>
      <w:r>
        <w:rPr>
          <w:rFonts w:hint="eastAsia" w:ascii="仿宋_GB2312" w:hAnsi="Calibri" w:eastAsia="仿宋_GB2312" w:cs="仿宋"/>
          <w:color w:val="000000"/>
          <w:kern w:val="0"/>
          <w:sz w:val="32"/>
          <w:szCs w:val="32"/>
          <w:lang w:val="en-US" w:eastAsia="zh-CN" w:bidi="ar-SA"/>
        </w:rPr>
        <w:t>抗疫相关支出402万元；公共卫生体系建设和重大疫情防控救治体系建设支出1222万元。</w:t>
      </w:r>
    </w:p>
    <w:p>
      <w:pPr>
        <w:numPr>
          <w:ilvl w:val="0"/>
          <w:numId w:val="4"/>
        </w:numPr>
        <w:spacing w:line="600" w:lineRule="exact"/>
        <w:ind w:firstLine="640"/>
        <w:outlineLvl w:val="1"/>
        <w:rPr>
          <w:rStyle w:val="26"/>
          <w:rFonts w:ascii="黑体" w:hAnsi="黑体" w:eastAsia="黑体"/>
          <w:b w:val="0"/>
        </w:rPr>
      </w:pPr>
      <w:bookmarkStart w:id="45" w:name="_Toc15377219"/>
      <w:bookmarkStart w:id="46" w:name="_Toc15396611"/>
      <w:r>
        <w:rPr>
          <w:rStyle w:val="26"/>
          <w:rFonts w:hint="eastAsia" w:ascii="黑体" w:hAnsi="黑体" w:eastAsia="黑体"/>
          <w:b w:val="0"/>
        </w:rPr>
        <w:t>国有资本经营预算支出决算情况说明</w:t>
      </w:r>
      <w:bookmarkEnd w:id="45"/>
      <w:bookmarkEnd w:id="46"/>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4"/>
        </w:numPr>
        <w:spacing w:line="600" w:lineRule="exact"/>
        <w:ind w:firstLine="640"/>
        <w:outlineLvl w:val="1"/>
        <w:rPr>
          <w:rStyle w:val="26"/>
          <w:rFonts w:hint="eastAsia" w:ascii="黑体" w:hAnsi="黑体" w:eastAsia="黑体"/>
          <w:b w:val="0"/>
        </w:rPr>
      </w:pPr>
      <w:bookmarkStart w:id="47" w:name="_Toc15377221"/>
      <w:bookmarkStart w:id="48" w:name="_Toc15396612"/>
      <w:r>
        <w:rPr>
          <w:rStyle w:val="26"/>
          <w:rFonts w:hint="eastAsia" w:ascii="黑体" w:hAnsi="黑体" w:eastAsia="黑体"/>
          <w:b w:val="0"/>
        </w:rPr>
        <w:t>其他重要事项的情况说明</w:t>
      </w:r>
      <w:bookmarkEnd w:id="47"/>
      <w:bookmarkEnd w:id="48"/>
    </w:p>
    <w:p>
      <w:pPr>
        <w:spacing w:line="600" w:lineRule="exact"/>
        <w:ind w:firstLine="643"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巴中市中心医院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年决算数持平</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巴中市中心医院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巴中市中心医院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含救护车等；</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57</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根据预算绩效管理要求，本部门（单位）在年初预算编制阶段，组织对“以色列政府贷款购置医疗设备项目”等</w:t>
      </w:r>
      <w:r>
        <w:rPr>
          <w:rFonts w:hint="eastAsia" w:ascii="仿宋_GB2312" w:eastAsia="仿宋_GB2312"/>
          <w:color w:val="000000"/>
          <w:sz w:val="32"/>
          <w:szCs w:val="32"/>
          <w:lang w:val="en-US" w:eastAsia="zh-CN"/>
        </w:rPr>
        <w:t>4个项目</w:t>
      </w:r>
      <w:r>
        <w:rPr>
          <w:rFonts w:hint="eastAsia" w:ascii="仿宋_GB2312" w:eastAsia="仿宋_GB2312"/>
          <w:color w:val="000000"/>
          <w:sz w:val="32"/>
          <w:szCs w:val="32"/>
          <w:lang w:eastAsia="zh-CN"/>
        </w:rPr>
        <w:t>开展了预算事前绩效评估，编制了绩效目标，预算执行过程中，选取</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个项目开展绩效监控，年终执行完毕后，对</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个项目开展了绩效目标完成情况梳理填报。</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lang w:eastAsia="zh-CN"/>
        </w:rPr>
        <w:t>本部门按要求对20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年部门整体支出开展绩效自评，从评价情况来看20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全面完成了医院的所有工作职能，完成了抗击疫情、传染病防治、公立医院综合改革、住院医师规范化培训等工作，提升了医疗服务水平。以色列政府贷款购置医疗设备项目，从评价情况来看投入使用的设备都产生了良好的经济效益和社会效益，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年医院的高新设备投入方便了巴中及周边群众就医，减少外出检查人次。</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1.项目绩效目标完成情况。</w:t>
      </w:r>
      <w:r>
        <w:rPr>
          <w:rFonts w:hint="eastAsia" w:ascii="楷体_GB2312" w:hAnsi="楷体_GB2312" w:eastAsia="楷体_GB2312" w:cs="楷体_GB2312"/>
          <w:sz w:val="32"/>
          <w:szCs w:val="32"/>
        </w:rPr>
        <w:br w:type="textWrapping"/>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 xml:space="preserve">  本部门在20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年度部门决算中反映“城市公立医院改革””、“公立医院运转经费”、“以色列政府贷款还本付息”、“抗疫特别国债资金项目”等</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个项目绩效目标实际完成情况。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（1）城市公立医院改革项目绩效目标完成情况综述。项目全年预算数</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lang w:eastAsia="zh-CN"/>
        </w:rPr>
        <w:t>万元（财政拨款</w:t>
      </w:r>
      <w:r>
        <w:rPr>
          <w:rFonts w:hint="eastAsia" w:ascii="仿宋_GB2312" w:eastAsia="仿宋_GB2312"/>
          <w:color w:val="000000"/>
          <w:sz w:val="32"/>
          <w:szCs w:val="32"/>
          <w:lang w:val="en-US" w:eastAsia="zh-CN"/>
        </w:rPr>
        <w:t>500万元，事业收入资金445万元</w:t>
      </w:r>
      <w:r>
        <w:rPr>
          <w:rFonts w:hint="eastAsia" w:ascii="仿宋_GB2312" w:eastAsia="仿宋_GB2312"/>
          <w:color w:val="000000"/>
          <w:sz w:val="32"/>
          <w:szCs w:val="32"/>
          <w:lang w:eastAsia="zh-CN"/>
        </w:rPr>
        <w:t>），执行数为</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%。完成了20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年城市公立医院改革取消药品加成任务，提升了医疗服务水平，降低患者负担。发现的主要问题：未加大对取消药品加成宣传工作力度。下一步改进措施：加大取消药品加成宣传工作。</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（2）公立医院运转经费绩效目标完成情况综述。项目全年预算数</w:t>
      </w:r>
      <w:r>
        <w:rPr>
          <w:rFonts w:hint="eastAsia" w:ascii="仿宋_GB2312" w:eastAsia="仿宋_GB2312"/>
          <w:color w:val="000000"/>
          <w:sz w:val="32"/>
          <w:szCs w:val="32"/>
          <w:lang w:val="en-US" w:eastAsia="zh-CN"/>
        </w:rPr>
        <w:t>1832</w:t>
      </w:r>
      <w:r>
        <w:rPr>
          <w:rFonts w:hint="eastAsia" w:ascii="仿宋_GB2312" w:eastAsia="仿宋_GB2312"/>
          <w:color w:val="000000"/>
          <w:sz w:val="32"/>
          <w:szCs w:val="32"/>
          <w:lang w:eastAsia="zh-CN"/>
        </w:rPr>
        <w:t>万元（财政拨款</w:t>
      </w:r>
      <w:r>
        <w:rPr>
          <w:rFonts w:hint="eastAsia" w:ascii="仿宋_GB2312" w:eastAsia="仿宋_GB2312"/>
          <w:color w:val="000000"/>
          <w:sz w:val="32"/>
          <w:szCs w:val="32"/>
          <w:lang w:val="en-US" w:eastAsia="zh-CN"/>
        </w:rPr>
        <w:t>500万元，事业收入资金1332万元</w:t>
      </w:r>
      <w:r>
        <w:rPr>
          <w:rFonts w:hint="eastAsia" w:ascii="仿宋_GB2312" w:eastAsia="仿宋_GB2312"/>
          <w:color w:val="000000"/>
          <w:sz w:val="32"/>
          <w:szCs w:val="32"/>
          <w:lang w:eastAsia="zh-CN"/>
        </w:rPr>
        <w:t>），执行数为</w:t>
      </w:r>
      <w:r>
        <w:rPr>
          <w:rFonts w:hint="eastAsia" w:ascii="仿宋_GB2312" w:eastAsia="仿宋_GB2312"/>
          <w:color w:val="000000"/>
          <w:sz w:val="32"/>
          <w:szCs w:val="32"/>
          <w:lang w:val="en-US" w:eastAsia="zh-CN"/>
        </w:rPr>
        <w:t>1832</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%。通过项目实施，承担了全市20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年紧急救援任务，降低突发事件的损失；完成了20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年传染病医院预防及治疗工作，有效控制传染病传播范围，减少发病人数；完成了20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年住院医师规范化培训任务。发现的主要问题：部分公共突发事件可以提前预防的，而该部分公共突发事件都是发生后才采取措施。下一步改进措施：进行公共突发事件如食品安全隐患教育等宣传工作。</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（3）以色列政府贷款购置医疗设备项目绩效目标完成情况综述。项目全年预算数</w:t>
      </w:r>
      <w:r>
        <w:rPr>
          <w:rFonts w:hint="eastAsia" w:ascii="仿宋_GB2312" w:eastAsia="仿宋_GB2312"/>
          <w:color w:val="000000"/>
          <w:sz w:val="32"/>
          <w:szCs w:val="32"/>
          <w:lang w:val="en-US" w:eastAsia="zh-CN"/>
        </w:rPr>
        <w:t>2554</w:t>
      </w:r>
      <w:r>
        <w:rPr>
          <w:rFonts w:hint="eastAsia" w:ascii="仿宋_GB2312" w:eastAsia="仿宋_GB2312"/>
          <w:color w:val="000000"/>
          <w:sz w:val="32"/>
          <w:szCs w:val="32"/>
          <w:lang w:eastAsia="zh-CN"/>
        </w:rPr>
        <w:t>万元（财政拨款</w:t>
      </w:r>
      <w:r>
        <w:rPr>
          <w:rFonts w:hint="eastAsia" w:ascii="仿宋_GB2312" w:eastAsia="仿宋_GB2312"/>
          <w:color w:val="000000"/>
          <w:sz w:val="32"/>
          <w:szCs w:val="32"/>
          <w:lang w:val="en-US" w:eastAsia="zh-CN"/>
        </w:rPr>
        <w:t>1000万元，事业收入资金1554万元</w:t>
      </w:r>
      <w:r>
        <w:rPr>
          <w:rFonts w:hint="eastAsia" w:ascii="仿宋_GB2312" w:eastAsia="仿宋_GB2312"/>
          <w:color w:val="000000"/>
          <w:sz w:val="32"/>
          <w:szCs w:val="32"/>
          <w:lang w:eastAsia="zh-CN"/>
        </w:rPr>
        <w:t>），执行数为</w:t>
      </w:r>
      <w:r>
        <w:rPr>
          <w:rFonts w:hint="eastAsia" w:ascii="仿宋_GB2312" w:eastAsia="仿宋_GB2312"/>
          <w:color w:val="000000"/>
          <w:sz w:val="32"/>
          <w:szCs w:val="32"/>
          <w:lang w:val="en-US" w:eastAsia="zh-CN"/>
        </w:rPr>
        <w:t>2306.78</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90.32</w:t>
      </w:r>
      <w:r>
        <w:rPr>
          <w:rFonts w:hint="eastAsia" w:ascii="仿宋_GB2312" w:eastAsia="仿宋_GB2312"/>
          <w:color w:val="000000"/>
          <w:sz w:val="32"/>
          <w:szCs w:val="32"/>
          <w:lang w:eastAsia="zh-CN"/>
        </w:rPr>
        <w:t>%。通过项目实施，保障了巴中及周边患者就近就医，提高了我院的临床诊断和治疗水平。发现的主要问题：设备未全面提升使用效益。下一步改进措施：让设备全面投入使用，发挥效益。</w:t>
      </w:r>
    </w:p>
    <w:p>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）抗疫特别国债资金项目完成情况综述。项目全年预算数</w:t>
      </w:r>
      <w:r>
        <w:rPr>
          <w:rFonts w:hint="eastAsia" w:ascii="仿宋_GB2312" w:eastAsia="仿宋_GB2312"/>
          <w:color w:val="000000"/>
          <w:sz w:val="32"/>
          <w:szCs w:val="32"/>
          <w:lang w:val="en-US" w:eastAsia="zh-CN"/>
        </w:rPr>
        <w:t>1624</w:t>
      </w:r>
      <w:r>
        <w:rPr>
          <w:rFonts w:hint="eastAsia" w:ascii="仿宋_GB2312" w:eastAsia="仿宋_GB2312"/>
          <w:color w:val="000000"/>
          <w:sz w:val="32"/>
          <w:szCs w:val="32"/>
          <w:lang w:eastAsia="zh-CN"/>
        </w:rPr>
        <w:t>万元（财政拨款</w:t>
      </w:r>
      <w:r>
        <w:rPr>
          <w:rFonts w:hint="eastAsia" w:ascii="仿宋_GB2312" w:eastAsia="仿宋_GB2312"/>
          <w:color w:val="000000"/>
          <w:sz w:val="32"/>
          <w:szCs w:val="32"/>
          <w:lang w:val="en-US" w:eastAsia="zh-CN"/>
        </w:rPr>
        <w:t>1624万元</w:t>
      </w:r>
      <w:r>
        <w:rPr>
          <w:rFonts w:hint="eastAsia" w:ascii="仿宋_GB2312" w:eastAsia="仿宋_GB2312"/>
          <w:color w:val="000000"/>
          <w:sz w:val="32"/>
          <w:szCs w:val="32"/>
          <w:lang w:eastAsia="zh-CN"/>
        </w:rPr>
        <w:t>），执行数为</w:t>
      </w:r>
      <w:r>
        <w:rPr>
          <w:rFonts w:hint="eastAsia" w:ascii="仿宋_GB2312" w:eastAsia="仿宋_GB2312"/>
          <w:color w:val="000000"/>
          <w:sz w:val="32"/>
          <w:szCs w:val="32"/>
          <w:lang w:val="en-US" w:eastAsia="zh-CN"/>
        </w:rPr>
        <w:t>1624</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%。完成了提升重大疫情防疫救治能力，打赢疫情防控阻击站。发现的主要问题：部分病人防疫意识有待加强。下一步改进措施：继续做好疫情防控宣传工作。</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0"/>
        <w:gridCol w:w="122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城市公立医院改革</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45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45</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45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45</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w:t>
            </w:r>
            <w:r>
              <w:rPr>
                <w:rFonts w:hint="eastAsia" w:ascii="宋体" w:hAnsi="宋体" w:cs="宋体"/>
                <w:color w:val="000000"/>
                <w:sz w:val="24"/>
                <w:lang w:val="en-US" w:eastAsia="zh-CN"/>
              </w:rPr>
              <w:t>20</w:t>
            </w:r>
            <w:r>
              <w:rPr>
                <w:rFonts w:hint="eastAsia" w:ascii="宋体" w:hAnsi="宋体" w:cs="宋体"/>
                <w:color w:val="000000"/>
                <w:sz w:val="24"/>
              </w:rPr>
              <w:t>年城市公立医院改革取消药品加成任务，提升医疗服务水平，降低患者负担</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r>
              <w:rPr>
                <w:rFonts w:hint="eastAsia" w:ascii="宋体" w:hAnsi="宋体" w:cs="宋体"/>
                <w:color w:val="000000"/>
                <w:sz w:val="24"/>
                <w:lang w:eastAsia="zh-CN"/>
              </w:rPr>
              <w:t>了</w:t>
            </w: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年城市公立医院改革取消药品加成任务，提升</w:t>
            </w:r>
            <w:r>
              <w:rPr>
                <w:rFonts w:hint="eastAsia" w:ascii="宋体" w:hAnsi="宋体" w:cs="宋体"/>
                <w:color w:val="000000"/>
                <w:sz w:val="24"/>
                <w:lang w:eastAsia="zh-CN"/>
              </w:rPr>
              <w:t>了</w:t>
            </w:r>
            <w:r>
              <w:rPr>
                <w:rFonts w:hint="eastAsia" w:ascii="宋体" w:hAnsi="宋体" w:cs="宋体"/>
                <w:color w:val="000000"/>
                <w:sz w:val="24"/>
              </w:rPr>
              <w:t>医疗服务水平，降低</w:t>
            </w:r>
            <w:r>
              <w:rPr>
                <w:rFonts w:hint="eastAsia" w:ascii="宋体" w:hAnsi="宋体" w:cs="宋体"/>
                <w:color w:val="000000"/>
                <w:sz w:val="24"/>
                <w:lang w:eastAsia="zh-CN"/>
              </w:rPr>
              <w:t>了</w:t>
            </w:r>
            <w:r>
              <w:rPr>
                <w:rFonts w:hint="eastAsia" w:ascii="宋体" w:hAnsi="宋体" w:cs="宋体"/>
                <w:color w:val="000000"/>
                <w:sz w:val="24"/>
              </w:rPr>
              <w:t>患者负担</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取消药品加成覆盖率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医疗服务水平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有所提升</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病人满意度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3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both"/>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公立医院运转经费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832</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832</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1332</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1332</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承担全市20</w:t>
            </w:r>
            <w:r>
              <w:rPr>
                <w:rFonts w:hint="eastAsia" w:ascii="宋体" w:hAnsi="宋体" w:cs="宋体"/>
                <w:color w:val="000000"/>
                <w:sz w:val="24"/>
                <w:lang w:val="en-US" w:eastAsia="zh-CN"/>
              </w:rPr>
              <w:t>20</w:t>
            </w:r>
            <w:r>
              <w:rPr>
                <w:rFonts w:hint="eastAsia" w:ascii="宋体" w:hAnsi="宋体" w:cs="宋体"/>
                <w:color w:val="000000"/>
                <w:sz w:val="24"/>
              </w:rPr>
              <w:t>年紧急救援任务，降低突发事件的损失；完成20</w:t>
            </w:r>
            <w:r>
              <w:rPr>
                <w:rFonts w:hint="eastAsia" w:ascii="宋体" w:hAnsi="宋体" w:cs="宋体"/>
                <w:color w:val="000000"/>
                <w:sz w:val="24"/>
                <w:lang w:val="en-US" w:eastAsia="zh-CN"/>
              </w:rPr>
              <w:t>20</w:t>
            </w:r>
            <w:r>
              <w:rPr>
                <w:rFonts w:hint="eastAsia" w:ascii="宋体" w:hAnsi="宋体" w:cs="宋体"/>
                <w:color w:val="000000"/>
                <w:sz w:val="24"/>
              </w:rPr>
              <w:t>年传染病医院预防及治疗工作，有效控制传染病传播范围，减少发病人数；完成20</w:t>
            </w:r>
            <w:r>
              <w:rPr>
                <w:rFonts w:hint="eastAsia" w:ascii="宋体" w:hAnsi="宋体" w:cs="宋体"/>
                <w:color w:val="000000"/>
                <w:sz w:val="24"/>
                <w:lang w:val="en-US" w:eastAsia="zh-CN"/>
              </w:rPr>
              <w:t>20</w:t>
            </w:r>
            <w:r>
              <w:rPr>
                <w:rFonts w:hint="eastAsia" w:ascii="宋体" w:hAnsi="宋体" w:cs="宋体"/>
                <w:color w:val="000000"/>
                <w:sz w:val="24"/>
              </w:rPr>
              <w:t>年住院医师规范化培训任务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承担</w:t>
            </w:r>
            <w:r>
              <w:rPr>
                <w:rFonts w:hint="eastAsia" w:ascii="宋体" w:hAnsi="宋体" w:cs="宋体"/>
                <w:color w:val="000000"/>
                <w:sz w:val="24"/>
                <w:lang w:eastAsia="zh-CN"/>
              </w:rPr>
              <w:t>了</w:t>
            </w:r>
            <w:r>
              <w:rPr>
                <w:rFonts w:hint="eastAsia" w:ascii="宋体" w:hAnsi="宋体" w:cs="宋体"/>
                <w:color w:val="000000"/>
                <w:sz w:val="24"/>
              </w:rPr>
              <w:t>全市20</w:t>
            </w:r>
            <w:r>
              <w:rPr>
                <w:rFonts w:hint="eastAsia" w:ascii="宋体" w:hAnsi="宋体" w:cs="宋体"/>
                <w:color w:val="000000"/>
                <w:sz w:val="24"/>
                <w:lang w:val="en-US" w:eastAsia="zh-CN"/>
              </w:rPr>
              <w:t>20</w:t>
            </w:r>
            <w:r>
              <w:rPr>
                <w:rFonts w:hint="eastAsia" w:ascii="宋体" w:hAnsi="宋体" w:cs="宋体"/>
                <w:color w:val="000000"/>
                <w:sz w:val="24"/>
              </w:rPr>
              <w:t>年紧急救援任务，降低</w:t>
            </w:r>
            <w:r>
              <w:rPr>
                <w:rFonts w:hint="eastAsia" w:ascii="宋体" w:hAnsi="宋体" w:cs="宋体"/>
                <w:color w:val="000000"/>
                <w:sz w:val="24"/>
                <w:lang w:eastAsia="zh-CN"/>
              </w:rPr>
              <w:t>了</w:t>
            </w:r>
            <w:r>
              <w:rPr>
                <w:rFonts w:hint="eastAsia" w:ascii="宋体" w:hAnsi="宋体" w:cs="宋体"/>
                <w:color w:val="000000"/>
                <w:sz w:val="24"/>
              </w:rPr>
              <w:t>突发事件的损失；完成</w:t>
            </w:r>
            <w:r>
              <w:rPr>
                <w:rFonts w:hint="eastAsia" w:ascii="宋体" w:hAnsi="宋体" w:cs="宋体"/>
                <w:color w:val="000000"/>
                <w:sz w:val="24"/>
                <w:lang w:eastAsia="zh-CN"/>
              </w:rPr>
              <w:t>了</w:t>
            </w: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年传染病医院预防及治疗工作，有效控制</w:t>
            </w:r>
            <w:r>
              <w:rPr>
                <w:rFonts w:hint="eastAsia" w:ascii="宋体" w:hAnsi="宋体" w:cs="宋体"/>
                <w:color w:val="000000"/>
                <w:sz w:val="24"/>
                <w:lang w:eastAsia="zh-CN"/>
              </w:rPr>
              <w:t>了</w:t>
            </w:r>
            <w:r>
              <w:rPr>
                <w:rFonts w:hint="eastAsia" w:ascii="宋体" w:hAnsi="宋体" w:cs="宋体"/>
                <w:color w:val="000000"/>
                <w:sz w:val="24"/>
              </w:rPr>
              <w:t>传染病传播范围，减少发病人数；完成</w:t>
            </w:r>
            <w:r>
              <w:rPr>
                <w:rFonts w:hint="eastAsia" w:ascii="宋体" w:hAnsi="宋体" w:cs="宋体"/>
                <w:color w:val="000000"/>
                <w:sz w:val="24"/>
                <w:lang w:eastAsia="zh-CN"/>
              </w:rPr>
              <w:t>了</w:t>
            </w: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年住院医师规范化培训任务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突发事件处理及时度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突发事件造成的损失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有所降低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有所降低</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效益效益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医疗服务水平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效益效益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传染病传染范围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有所缩小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有所缩小</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可持续影响</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培养临床技能优秀，理论水平较高的医学人才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3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both"/>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以色列政府贷款还本付息</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CellMar>
            <w:top w:w="0" w:type="dxa"/>
            <w:left w:w="0" w:type="dxa"/>
            <w:bottom w:w="0" w:type="dxa"/>
            <w:right w:w="0" w:type="dxa"/>
          </w:tblCellMar>
        </w:tblPrEx>
        <w:trPr>
          <w:trHeight w:val="276" w:hRule="atLeast"/>
          <w:jc w:val="center"/>
        </w:trPr>
        <w:tc>
          <w:tcPr>
            <w:tcW w:w="5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2554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2306.78</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5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1000万元</w:t>
            </w:r>
          </w:p>
        </w:tc>
      </w:tr>
      <w:tr>
        <w:tblPrEx>
          <w:tblCellMar>
            <w:top w:w="0" w:type="dxa"/>
            <w:left w:w="0" w:type="dxa"/>
            <w:bottom w:w="0" w:type="dxa"/>
            <w:right w:w="0" w:type="dxa"/>
          </w:tblCellMar>
        </w:tblPrEx>
        <w:trPr>
          <w:trHeight w:val="1511" w:hRule="atLeast"/>
          <w:jc w:val="center"/>
        </w:trPr>
        <w:tc>
          <w:tcPr>
            <w:tcW w:w="5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1554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1306.78</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5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5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完成20</w:t>
            </w:r>
            <w:r>
              <w:rPr>
                <w:rFonts w:hint="eastAsia" w:ascii="宋体" w:hAnsi="宋体" w:cs="宋体"/>
                <w:color w:val="000000"/>
                <w:kern w:val="0"/>
                <w:sz w:val="24"/>
                <w:lang w:val="en-US" w:eastAsia="zh-CN" w:bidi="ar"/>
              </w:rPr>
              <w:t>20</w:t>
            </w:r>
            <w:r>
              <w:rPr>
                <w:rFonts w:hint="eastAsia" w:ascii="宋体" w:hAnsi="宋体" w:cs="宋体"/>
                <w:color w:val="000000"/>
                <w:kern w:val="0"/>
                <w:sz w:val="24"/>
                <w:lang w:eastAsia="zh-CN" w:bidi="ar"/>
              </w:rPr>
              <w:t>年以色列贷款本金及利息还款任务，保障巴中及周边患者就近就医，提高我院的临床诊断和治疗水平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完成了20</w:t>
            </w:r>
            <w:r>
              <w:rPr>
                <w:rFonts w:hint="eastAsia" w:ascii="宋体" w:hAnsi="宋体" w:cs="宋体"/>
                <w:color w:val="000000"/>
                <w:kern w:val="0"/>
                <w:sz w:val="24"/>
                <w:lang w:val="en-US" w:eastAsia="zh-CN" w:bidi="ar"/>
              </w:rPr>
              <w:t>20</w:t>
            </w:r>
            <w:r>
              <w:rPr>
                <w:rFonts w:hint="eastAsia" w:ascii="宋体" w:hAnsi="宋体" w:cs="宋体"/>
                <w:color w:val="000000"/>
                <w:kern w:val="0"/>
                <w:sz w:val="24"/>
                <w:lang w:eastAsia="zh-CN" w:bidi="ar"/>
              </w:rPr>
              <w:t>年以色列贷款本金及利息还款任务，保障了巴中及周边患者就近就医，提高了我院的临床诊断和治疗水平</w:t>
            </w:r>
          </w:p>
        </w:tc>
      </w:tr>
      <w:tr>
        <w:tblPrEx>
          <w:tblCellMar>
            <w:top w:w="0" w:type="dxa"/>
            <w:left w:w="0" w:type="dxa"/>
            <w:bottom w:w="0" w:type="dxa"/>
            <w:right w:w="0" w:type="dxa"/>
          </w:tblCellMar>
        </w:tblPrEx>
        <w:trPr>
          <w:trHeight w:val="1042" w:hRule="atLeast"/>
          <w:jc w:val="center"/>
        </w:trPr>
        <w:tc>
          <w:tcPr>
            <w:tcW w:w="53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47" w:hRule="atLeast"/>
          <w:jc w:val="center"/>
        </w:trPr>
        <w:tc>
          <w:tcPr>
            <w:tcW w:w="53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还款计划按期完成率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654" w:hRule="atLeast"/>
          <w:jc w:val="center"/>
        </w:trPr>
        <w:tc>
          <w:tcPr>
            <w:tcW w:w="53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效益指标益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医疗服务水平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CellMar>
            <w:top w:w="0" w:type="dxa"/>
            <w:left w:w="0" w:type="dxa"/>
            <w:bottom w:w="0" w:type="dxa"/>
            <w:right w:w="0" w:type="dxa"/>
          </w:tblCellMar>
        </w:tblPrEx>
        <w:trPr>
          <w:trHeight w:val="654" w:hRule="atLeast"/>
          <w:jc w:val="center"/>
        </w:trPr>
        <w:tc>
          <w:tcPr>
            <w:tcW w:w="53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3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both"/>
              <w:textAlignment w:val="center"/>
              <w:rPr>
                <w:rFonts w:hint="eastAsia" w:ascii="宋体" w:hAnsi="宋体" w:cs="宋体"/>
                <w:b/>
                <w:bCs/>
                <w:color w:val="000000"/>
                <w:kern w:val="0"/>
                <w:sz w:val="36"/>
                <w:szCs w:val="36"/>
              </w:rPr>
            </w:pPr>
          </w:p>
          <w:p>
            <w:pPr>
              <w:widowControl/>
              <w:jc w:val="both"/>
              <w:textAlignment w:val="center"/>
              <w:rPr>
                <w:rFonts w:hint="eastAsia" w:ascii="宋体" w:hAnsi="宋体" w:cs="宋体"/>
                <w:b/>
                <w:bCs/>
                <w:color w:val="000000"/>
                <w:kern w:val="0"/>
                <w:sz w:val="36"/>
                <w:szCs w:val="36"/>
              </w:rPr>
            </w:pPr>
          </w:p>
          <w:p>
            <w:pPr>
              <w:widowControl/>
              <w:jc w:val="both"/>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抗疫特别国债资金</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1624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1624</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1624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1624</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6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提升重大疫情防控救治能力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720" w:firstLineChars="300"/>
              <w:jc w:val="left"/>
              <w:textAlignment w:val="center"/>
              <w:rPr>
                <w:rFonts w:ascii="宋体" w:hAnsi="宋体" w:cs="宋体"/>
                <w:color w:val="000000"/>
                <w:sz w:val="24"/>
              </w:rPr>
            </w:pPr>
            <w:r>
              <w:rPr>
                <w:rFonts w:hint="eastAsia" w:ascii="宋体" w:hAnsi="宋体" w:cs="宋体"/>
                <w:color w:val="000000"/>
                <w:sz w:val="24"/>
                <w:lang w:eastAsia="zh-CN"/>
              </w:rPr>
              <w:t>提升了重大疫情防控救治能力</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医院床位增加数（床）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300</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购置的医疗设备防护用品等是否验收合格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是</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效益效益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诊疗能力提升人次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300</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可持续影响</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当地重大疫情防疫救治能力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巴中市中心医院</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600" w:lineRule="exact"/>
        <w:ind w:firstLine="64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本部门自行组织对“</w:t>
      </w:r>
      <w:r>
        <w:rPr>
          <w:rFonts w:hint="eastAsia" w:ascii="仿宋_GB2312" w:hAnsi="仿宋_GB2312" w:eastAsia="仿宋_GB2312" w:cs="仿宋_GB2312"/>
          <w:sz w:val="32"/>
          <w:szCs w:val="32"/>
          <w:lang w:eastAsia="zh-CN"/>
        </w:rPr>
        <w:t>抗疫特别国债资金项目”开展了绩效评价，《巴中市中心医院抗疫特别国债资金项目2020年度绩效评价报告》见附件</w:t>
      </w:r>
      <w:r>
        <w:rPr>
          <w:rFonts w:hint="eastAsia" w:ascii="仿宋_GB2312" w:hAnsi="仿宋_GB2312" w:eastAsia="仿宋_GB2312" w:cs="仿宋_GB2312"/>
          <w:sz w:val="32"/>
          <w:szCs w:val="32"/>
          <w:lang w:val="en-US" w:eastAsia="zh-CN"/>
        </w:rPr>
        <w:t>2。</w:t>
      </w:r>
    </w:p>
    <w:p>
      <w:pPr>
        <w:spacing w:line="600" w:lineRule="exact"/>
        <w:ind w:firstLine="642"/>
        <w:jc w:val="left"/>
        <w:rPr>
          <w:rFonts w:hint="eastAsia" w:ascii="仿宋_GB2312" w:hAnsi="仿宋_GB2312" w:eastAsia="仿宋_GB2312" w:cs="仿宋_GB2312"/>
          <w:sz w:val="32"/>
          <w:szCs w:val="32"/>
          <w:lang w:val="en-US" w:eastAsia="zh-CN"/>
        </w:rPr>
      </w:pPr>
    </w:p>
    <w:p>
      <w:pPr>
        <w:spacing w:line="600" w:lineRule="exact"/>
        <w:ind w:firstLine="642"/>
        <w:jc w:val="left"/>
        <w:rPr>
          <w:rFonts w:hint="eastAsia" w:ascii="仿宋_GB2312" w:hAnsi="仿宋_GB2312" w:eastAsia="仿宋_GB2312" w:cs="仿宋_GB2312"/>
          <w:sz w:val="32"/>
          <w:szCs w:val="32"/>
          <w:lang w:val="en-US" w:eastAsia="zh-CN"/>
        </w:rPr>
      </w:pPr>
    </w:p>
    <w:p>
      <w:pPr>
        <w:spacing w:line="600" w:lineRule="exact"/>
        <w:ind w:firstLine="642"/>
        <w:jc w:val="left"/>
        <w:rPr>
          <w:rFonts w:hint="eastAsia" w:ascii="仿宋_GB2312" w:hAnsi="仿宋_GB2312" w:eastAsia="仿宋_GB2312" w:cs="仿宋_GB2312"/>
          <w:sz w:val="32"/>
          <w:szCs w:val="32"/>
          <w:lang w:val="en-US" w:eastAsia="zh-CN"/>
        </w:rPr>
      </w:pPr>
    </w:p>
    <w:p>
      <w:pPr>
        <w:spacing w:line="600" w:lineRule="exact"/>
        <w:ind w:firstLine="642"/>
        <w:jc w:val="left"/>
        <w:rPr>
          <w:rFonts w:hint="eastAsia" w:ascii="仿宋_GB2312" w:hAnsi="仿宋_GB2312" w:eastAsia="仿宋_GB2312" w:cs="仿宋_GB2312"/>
          <w:sz w:val="32"/>
          <w:szCs w:val="32"/>
          <w:lang w:val="en-US" w:eastAsia="zh-CN"/>
        </w:rPr>
      </w:pPr>
    </w:p>
    <w:p>
      <w:pPr>
        <w:numPr>
          <w:ilvl w:val="0"/>
          <w:numId w:val="5"/>
        </w:numPr>
        <w:spacing w:line="600" w:lineRule="exact"/>
        <w:ind w:firstLine="660" w:firstLineChars="150"/>
        <w:jc w:val="center"/>
        <w:outlineLvl w:val="0"/>
        <w:rPr>
          <w:rStyle w:val="25"/>
          <w:rFonts w:ascii="黑体" w:hAnsi="黑体" w:eastAsia="黑体"/>
          <w:b w:val="0"/>
        </w:rPr>
      </w:pPr>
      <w:bookmarkStart w:id="52" w:name="_Toc15396613"/>
      <w:bookmarkStart w:id="53"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w:t>
      </w:r>
      <w:r>
        <w:rPr>
          <w:rFonts w:hint="eastAsia" w:ascii="仿宋_GB2312" w:eastAsia="仿宋_GB2312"/>
          <w:sz w:val="32"/>
          <w:szCs w:val="32"/>
          <w:lang w:eastAsia="zh-CN"/>
        </w:rPr>
        <w:t>医疗收入</w:t>
      </w:r>
      <w:r>
        <w:rPr>
          <w:rFonts w:hint="eastAsia" w:ascii="仿宋_GB2312" w:eastAsia="仿宋_GB2312"/>
          <w:sz w:val="32"/>
          <w:szCs w:val="32"/>
        </w:rPr>
        <w:t>等。</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救护车收入、租金收入</w:t>
      </w:r>
      <w:r>
        <w:rPr>
          <w:rFonts w:hint="eastAsia" w:ascii="仿宋_GB2312" w:eastAsia="仿宋_GB2312"/>
          <w:sz w:val="32"/>
          <w:szCs w:val="32"/>
        </w:rPr>
        <w:t>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sz w:val="32"/>
          <w:szCs w:val="32"/>
        </w:rPr>
        <w:t>（类）</w:t>
      </w:r>
      <w:r>
        <w:rPr>
          <w:rFonts w:hint="eastAsia" w:ascii="仿宋_GB2312" w:eastAsia="仿宋_GB2312"/>
          <w:sz w:val="32"/>
          <w:szCs w:val="32"/>
          <w:lang w:eastAsia="zh-CN"/>
        </w:rPr>
        <w:t>公立医院</w:t>
      </w:r>
      <w:r>
        <w:rPr>
          <w:rFonts w:hint="eastAsia" w:ascii="仿宋_GB2312" w:eastAsia="仿宋_GB2312"/>
          <w:sz w:val="32"/>
          <w:szCs w:val="32"/>
        </w:rPr>
        <w:t>（款）</w:t>
      </w:r>
      <w:r>
        <w:rPr>
          <w:rFonts w:hint="eastAsia" w:ascii="仿宋_GB2312" w:eastAsia="仿宋_GB2312"/>
          <w:sz w:val="32"/>
          <w:szCs w:val="32"/>
          <w:lang w:eastAsia="zh-CN"/>
        </w:rPr>
        <w:t>综合医院</w:t>
      </w:r>
      <w:r>
        <w:rPr>
          <w:rFonts w:hint="eastAsia" w:ascii="仿宋_GB2312" w:eastAsia="仿宋_GB2312"/>
          <w:sz w:val="32"/>
          <w:szCs w:val="32"/>
        </w:rPr>
        <w:t>（项）:</w:t>
      </w:r>
      <w:r>
        <w:rPr>
          <w:rFonts w:hint="eastAsia" w:ascii="仿宋_GB2312" w:eastAsia="仿宋_GB2312"/>
          <w:color w:val="000000"/>
          <w:sz w:val="32"/>
          <w:szCs w:val="32"/>
        </w:rPr>
        <w:t>指为保障</w:t>
      </w:r>
      <w:r>
        <w:rPr>
          <w:rFonts w:hint="eastAsia" w:ascii="仿宋_GB2312" w:eastAsia="仿宋_GB2312"/>
          <w:color w:val="000000"/>
          <w:sz w:val="32"/>
          <w:szCs w:val="32"/>
          <w:lang w:eastAsia="zh-CN"/>
        </w:rPr>
        <w:t>医院</w:t>
      </w:r>
      <w:r>
        <w:rPr>
          <w:rFonts w:hint="eastAsia" w:ascii="仿宋_GB2312" w:eastAsia="仿宋_GB2312"/>
          <w:color w:val="000000"/>
          <w:sz w:val="32"/>
          <w:szCs w:val="32"/>
        </w:rPr>
        <w:t>正常运转、完成日常工作任务而发生的</w:t>
      </w:r>
      <w:r>
        <w:rPr>
          <w:rFonts w:hint="eastAsia" w:ascii="仿宋_GB2312" w:eastAsia="仿宋_GB2312"/>
          <w:color w:val="000000"/>
          <w:sz w:val="32"/>
          <w:szCs w:val="32"/>
          <w:lang w:eastAsia="zh-CN"/>
        </w:rPr>
        <w:t>。如：工资福利支出、商品和服务支出等。</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sz w:val="32"/>
          <w:szCs w:val="32"/>
        </w:rPr>
        <w:t>（类）</w:t>
      </w:r>
      <w:r>
        <w:rPr>
          <w:rFonts w:hint="eastAsia" w:ascii="仿宋_GB2312" w:eastAsia="仿宋_GB2312"/>
          <w:sz w:val="32"/>
          <w:szCs w:val="32"/>
          <w:lang w:eastAsia="zh-CN"/>
        </w:rPr>
        <w:t>公共卫生</w:t>
      </w:r>
      <w:r>
        <w:rPr>
          <w:rFonts w:hint="eastAsia" w:ascii="仿宋_GB2312" w:eastAsia="仿宋_GB2312"/>
          <w:sz w:val="32"/>
          <w:szCs w:val="32"/>
        </w:rPr>
        <w:t>（款）</w:t>
      </w:r>
      <w:r>
        <w:rPr>
          <w:rFonts w:hint="eastAsia" w:ascii="仿宋_GB2312" w:eastAsia="仿宋_GB2312"/>
          <w:sz w:val="32"/>
          <w:szCs w:val="32"/>
          <w:lang w:eastAsia="zh-CN"/>
        </w:rPr>
        <w:t>基本公共卫生服务</w:t>
      </w:r>
      <w:r>
        <w:rPr>
          <w:rFonts w:hint="eastAsia" w:ascii="仿宋_GB2312" w:eastAsia="仿宋_GB2312"/>
          <w:sz w:val="32"/>
          <w:szCs w:val="32"/>
        </w:rPr>
        <w:t>（项）:</w:t>
      </w:r>
      <w:r>
        <w:rPr>
          <w:rFonts w:hint="eastAsia" w:ascii="仿宋_GB2312" w:eastAsia="仿宋_GB2312"/>
          <w:sz w:val="32"/>
          <w:szCs w:val="32"/>
          <w:lang w:eastAsia="zh-CN"/>
        </w:rPr>
        <w:t>指公立医院基本公共卫生服务的运行。如疾病预防控制等。</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sz w:val="32"/>
          <w:szCs w:val="32"/>
        </w:rPr>
        <w:t>（类）</w:t>
      </w:r>
      <w:r>
        <w:rPr>
          <w:rFonts w:hint="eastAsia" w:ascii="仿宋_GB2312" w:eastAsia="仿宋_GB2312"/>
          <w:sz w:val="32"/>
          <w:szCs w:val="32"/>
          <w:lang w:eastAsia="zh-CN"/>
        </w:rPr>
        <w:t>公共卫生</w:t>
      </w:r>
      <w:r>
        <w:rPr>
          <w:rFonts w:hint="eastAsia" w:ascii="仿宋_GB2312" w:eastAsia="仿宋_GB2312"/>
          <w:sz w:val="32"/>
          <w:szCs w:val="32"/>
        </w:rPr>
        <w:t>（款）</w:t>
      </w:r>
      <w:r>
        <w:rPr>
          <w:rFonts w:hint="eastAsia" w:ascii="仿宋_GB2312" w:eastAsia="仿宋_GB2312"/>
          <w:sz w:val="32"/>
          <w:szCs w:val="32"/>
          <w:lang w:eastAsia="zh-CN"/>
        </w:rPr>
        <w:t>重大卫生专项</w:t>
      </w:r>
      <w:r>
        <w:rPr>
          <w:rFonts w:hint="eastAsia" w:ascii="仿宋_GB2312" w:eastAsia="仿宋_GB2312"/>
          <w:sz w:val="32"/>
          <w:szCs w:val="32"/>
        </w:rPr>
        <w:t>（项）:</w:t>
      </w:r>
      <w:r>
        <w:rPr>
          <w:rFonts w:hint="eastAsia" w:ascii="仿宋_GB2312" w:eastAsia="仿宋_GB2312"/>
          <w:sz w:val="32"/>
          <w:szCs w:val="32"/>
          <w:lang w:val="en-US" w:eastAsia="zh-CN"/>
        </w:rPr>
        <w:t>指反映重大疾病预防控制等重大公共卫生服务项目。如艾滋病防控、食品安全保障等。</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sz w:val="32"/>
          <w:szCs w:val="32"/>
        </w:rPr>
        <w:t>（类）</w:t>
      </w:r>
      <w:r>
        <w:rPr>
          <w:rFonts w:hint="eastAsia" w:ascii="仿宋_GB2312" w:eastAsia="仿宋_GB2312"/>
          <w:sz w:val="32"/>
          <w:szCs w:val="32"/>
          <w:lang w:eastAsia="zh-CN"/>
        </w:rPr>
        <w:t>其他卫生健康支出</w:t>
      </w:r>
      <w:r>
        <w:rPr>
          <w:rFonts w:hint="eastAsia" w:ascii="仿宋_GB2312" w:eastAsia="仿宋_GB2312"/>
          <w:sz w:val="32"/>
          <w:szCs w:val="32"/>
        </w:rPr>
        <w:t>（款）</w:t>
      </w:r>
      <w:r>
        <w:rPr>
          <w:rFonts w:hint="eastAsia" w:ascii="仿宋_GB2312" w:eastAsia="仿宋_GB2312"/>
          <w:sz w:val="32"/>
          <w:szCs w:val="32"/>
          <w:lang w:eastAsia="zh-CN"/>
        </w:rPr>
        <w:t>其他卫生健康支出</w:t>
      </w:r>
      <w:r>
        <w:rPr>
          <w:rFonts w:hint="eastAsia" w:ascii="仿宋_GB2312" w:eastAsia="仿宋_GB2312"/>
          <w:sz w:val="32"/>
          <w:szCs w:val="32"/>
        </w:rPr>
        <w:t>（项）:</w:t>
      </w:r>
      <w:r>
        <w:rPr>
          <w:rFonts w:hint="eastAsia" w:ascii="仿宋_GB2312" w:eastAsia="仿宋_GB2312"/>
          <w:sz w:val="32"/>
          <w:szCs w:val="32"/>
          <w:lang w:eastAsia="zh-CN"/>
        </w:rPr>
        <w:t>反映其他用于公共卫生方面支出。如住院医师规范化培训等。</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lang w:eastAsia="zh-CN"/>
        </w:rPr>
        <w:t>卫生健康支出（类）公立医院（款）突发公共卫生事件应急处理（项）：反映用于突发公共卫生事件应急处理的支出。</w:t>
      </w:r>
    </w:p>
    <w:p>
      <w:pPr>
        <w:pStyle w:val="23"/>
        <w:spacing w:line="560" w:lineRule="exact"/>
        <w:ind w:firstLine="640" w:firstLineChars="200"/>
        <w:rPr>
          <w:rFonts w:hint="eastAsia" w:ascii="仿宋_GB2312" w:eastAsia="仿宋"/>
          <w:sz w:val="32"/>
          <w:szCs w:val="32"/>
          <w:lang w:eastAsia="zh-CN"/>
        </w:rPr>
      </w:pPr>
      <w:r>
        <w:rPr>
          <w:rFonts w:hint="eastAsia" w:ascii="仿宋_GB2312" w:eastAsia="仿宋_GB2312"/>
          <w:sz w:val="32"/>
          <w:szCs w:val="32"/>
          <w:lang w:val="en-US" w:eastAsia="zh-CN"/>
        </w:rPr>
        <w:t>11.</w:t>
      </w:r>
      <w:r>
        <w:rPr>
          <w:rFonts w:hint="eastAsia" w:ascii="仿宋_GB2312" w:eastAsia="仿宋_GB2312"/>
          <w:sz w:val="32"/>
          <w:szCs w:val="32"/>
          <w:lang w:eastAsia="zh-CN"/>
        </w:rPr>
        <w:t>一般公共服务（类）人力资源事务（款）引进人才费用（项）:</w:t>
      </w:r>
      <w:r>
        <w:rPr>
          <w:rStyle w:val="15"/>
          <w:rFonts w:ascii="仿宋" w:hAnsi="仿宋" w:eastAsia="仿宋"/>
          <w:b w:val="0"/>
          <w:bCs/>
          <w:color w:val="000000"/>
          <w:sz w:val="32"/>
          <w:szCs w:val="32"/>
        </w:rPr>
        <w:t xml:space="preserve"> </w:t>
      </w:r>
      <w:r>
        <w:rPr>
          <w:rStyle w:val="15"/>
          <w:rFonts w:hint="eastAsia" w:hAnsi="仿宋"/>
          <w:b w:val="0"/>
          <w:bCs/>
          <w:color w:val="000000"/>
          <w:sz w:val="32"/>
          <w:szCs w:val="32"/>
          <w:lang w:eastAsia="zh-CN"/>
        </w:rPr>
        <w:t>反映对医院引进人才发生的安家补助等。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rPr>
          <w:rFonts w:ascii="仿宋_GB2312" w:eastAsia="仿宋_GB2312" w:cs="黑体"/>
          <w:sz w:val="32"/>
          <w:szCs w:val="32"/>
        </w:rPr>
      </w:pPr>
    </w:p>
    <w:p>
      <w:pPr>
        <w:spacing w:line="600" w:lineRule="exact"/>
        <w:jc w:val="center"/>
        <w:outlineLvl w:val="0"/>
        <w:rPr>
          <w:rStyle w:val="25"/>
          <w:rFonts w:ascii="黑体" w:hAnsi="黑体" w:eastAsia="黑体"/>
          <w:b w:val="0"/>
        </w:rPr>
      </w:pPr>
      <w:bookmarkStart w:id="54" w:name="_Toc15396614"/>
      <w:bookmarkStart w:id="55" w:name="_Toc15377226"/>
      <w:r>
        <w:rPr>
          <w:rFonts w:hint="eastAsia" w:ascii="黑体" w:hAnsi="黑体" w:eastAsia="黑体"/>
          <w:color w:val="000000"/>
          <w:sz w:val="44"/>
          <w:szCs w:val="44"/>
        </w:rPr>
        <w:t>第</w:t>
      </w:r>
      <w:r>
        <w:rPr>
          <w:rStyle w:val="25"/>
          <w:rFonts w:hint="eastAsia" w:ascii="黑体" w:hAnsi="黑体" w:eastAsia="黑体"/>
          <w:b w:val="0"/>
        </w:rPr>
        <w:t>四部分 附件</w:t>
      </w:r>
      <w:bookmarkEnd w:id="54"/>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lang w:eastAsia="zh-CN"/>
        </w:rPr>
        <w:t>巴中市中心医院</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Style w:val="23"/>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（一）机构组成。</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巴中市中心医院是巴中市财政局社保科对口管理的一级预算拨款定额定项补助单位，无下属二级单位。</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（二</w:t>
      </w:r>
      <w:r>
        <w:rPr>
          <w:rFonts w:hint="eastAsia" w:ascii="仿宋_GB2312" w:eastAsia="仿宋_GB2312"/>
          <w:sz w:val="32"/>
          <w:szCs w:val="32"/>
          <w:lang w:val="en-US" w:eastAsia="zh-CN"/>
        </w:rPr>
        <w:t>)</w:t>
      </w:r>
      <w:r>
        <w:rPr>
          <w:rFonts w:hint="eastAsia" w:ascii="仿宋_GB2312" w:eastAsia="仿宋_GB2312"/>
          <w:sz w:val="32"/>
          <w:szCs w:val="32"/>
          <w:lang w:val="zh-CN" w:eastAsia="zh-CN"/>
        </w:rPr>
        <w:t>机构职能。</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巴中市中心医院是集医疗、教学、科研、预防、保健为一体的全市唯一一家三级甲等综合医院。按政府安排承办巴中市中心医院传染病分院、紧急救援中心公共卫生项目。医疗服务对象为巴中市及周边地区人群，还承担全市的突发公共卫生事件的医疗救助工作。</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zh-CN" w:eastAsia="zh-CN"/>
        </w:rPr>
        <w:t>（三）人员概况。</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cs="仿宋_GB2312"/>
          <w:kern w:val="0"/>
          <w:sz w:val="32"/>
          <w:szCs w:val="32"/>
        </w:rPr>
        <w:t>医院现有在职人员</w:t>
      </w:r>
      <w:r>
        <w:rPr>
          <w:rFonts w:hint="eastAsia" w:ascii="仿宋_GB2312" w:eastAsia="仿宋_GB2312" w:cs="仿宋_GB2312"/>
          <w:kern w:val="0"/>
          <w:sz w:val="32"/>
          <w:szCs w:val="32"/>
          <w:lang w:val="en-US" w:eastAsia="zh-CN"/>
        </w:rPr>
        <w:t>1814</w:t>
      </w:r>
      <w:r>
        <w:rPr>
          <w:rFonts w:hint="eastAsia" w:ascii="仿宋_GB2312" w:eastAsia="仿宋_GB2312" w:cs="仿宋_GB2312"/>
          <w:kern w:val="0"/>
          <w:sz w:val="32"/>
          <w:szCs w:val="32"/>
        </w:rPr>
        <w:t>人，其中财政拨款3</w:t>
      </w:r>
      <w:r>
        <w:rPr>
          <w:rFonts w:hint="eastAsia" w:ascii="仿宋_GB2312" w:eastAsia="仿宋_GB2312" w:cs="仿宋_GB2312"/>
          <w:kern w:val="0"/>
          <w:sz w:val="32"/>
          <w:szCs w:val="32"/>
          <w:lang w:val="en-US" w:eastAsia="zh-CN"/>
        </w:rPr>
        <w:t>38</w:t>
      </w:r>
      <w:r>
        <w:rPr>
          <w:rFonts w:hint="eastAsia" w:ascii="仿宋_GB2312" w:eastAsia="仿宋_GB2312" w:cs="仿宋_GB2312"/>
          <w:kern w:val="0"/>
          <w:sz w:val="32"/>
          <w:szCs w:val="32"/>
        </w:rPr>
        <w:t>人,经费自理人数</w:t>
      </w:r>
      <w:r>
        <w:rPr>
          <w:rFonts w:hint="eastAsia" w:ascii="仿宋_GB2312" w:eastAsia="仿宋_GB2312" w:cs="仿宋_GB2312"/>
          <w:kern w:val="0"/>
          <w:sz w:val="32"/>
          <w:szCs w:val="32"/>
          <w:lang w:val="en-US" w:eastAsia="zh-CN"/>
        </w:rPr>
        <w:t>1476</w:t>
      </w:r>
      <w:r>
        <w:rPr>
          <w:rFonts w:hint="eastAsia" w:ascii="仿宋_GB2312" w:eastAsia="仿宋_GB2312" w:cs="仿宋_GB2312"/>
          <w:kern w:val="0"/>
          <w:sz w:val="32"/>
          <w:szCs w:val="32"/>
        </w:rPr>
        <w:t>人。</w:t>
      </w:r>
      <w:r>
        <w:rPr>
          <w:rFonts w:hint="eastAsia" w:ascii="仿宋_GB2312" w:eastAsia="仿宋_GB2312"/>
          <w:sz w:val="32"/>
          <w:szCs w:val="32"/>
          <w:lang w:val="en-US" w:eastAsia="zh-CN"/>
        </w:rPr>
        <w:t>因抗击新冠疫情，我院多个集体及个人受到国家、省、市级表彰。其中，省级以上表彰抗疫先进基层党组织1个、先进集体3个、先进个人4人、最美家庭2个，受到市级表彰先进基层党组织1个、先进集体1个、优秀党务工作者1人、优秀共产党员2人、先进个人10人，院内表扬抗疫先进集体6个、先进个人17人、最美家庭12个。</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（一）部门财政资金收入情况。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2020年巴中市中心医院财政补助资金</w:t>
      </w:r>
      <w:r>
        <w:rPr>
          <w:rFonts w:hint="eastAsia" w:ascii="仿宋_GB2312" w:eastAsia="仿宋_GB2312" w:cs="仿宋_GB2312"/>
          <w:kern w:val="0"/>
          <w:sz w:val="32"/>
          <w:szCs w:val="32"/>
          <w:lang w:val="en-US" w:eastAsia="zh-CN"/>
        </w:rPr>
        <w:t>6182.34</w:t>
      </w:r>
      <w:r>
        <w:rPr>
          <w:rFonts w:hint="eastAsia" w:ascii="仿宋_GB2312" w:eastAsia="仿宋_GB2312"/>
          <w:sz w:val="32"/>
          <w:szCs w:val="32"/>
          <w:lang w:val="en-US" w:eastAsia="zh-CN"/>
        </w:rPr>
        <w:t>万元，加上年初财政拨款结转的8万元，共计6190.34万元。</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（二）部门财政资金支出情况。</w:t>
      </w:r>
    </w:p>
    <w:p>
      <w:pPr>
        <w:spacing w:line="600" w:lineRule="exact"/>
        <w:ind w:firstLine="640"/>
      </w:pPr>
      <w:r>
        <w:rPr>
          <w:rFonts w:hint="eastAsia" w:ascii="仿宋_GB2312" w:eastAsia="仿宋_GB2312" w:cs="仿宋_GB2312"/>
          <w:kern w:val="0"/>
          <w:sz w:val="32"/>
          <w:szCs w:val="32"/>
          <w:lang w:val="en-US" w:eastAsia="zh-CN"/>
        </w:rPr>
        <w:t>2020年财政拨款支出5907.12万元，主要用于以下方面:引进人才费用8万元、综合医院2505万元、基本公共卫生服务19.04万元、重大公共卫生专项443.67万元、突发公共卫生事件应急处理586.67万元、 其他卫生健康支出720.74万元、公共卫生体系建设1222万元、其他抗疫相关支出402万元。</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（一）部门预算管理。</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本部门按照要求对2020年部门整体支出开展绩效自评，从评价情况来看各绩效项目均完成了产出指标、达到了效益指标、符合满意度指标，本部门还自行组织了1个项目绩效评价。</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（二）结果应用情况。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对部门整体支出的预算绩效进行自评，对预算执行存在的偏差进行分析，更加科学合理的编制预算并严格执行预算。</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（一）评价结论。</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对照2020年市级部门整体支出绩效评价指标自评，自评结果为优秀。</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（二）存在问题。</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1、预算管理及内控管理是医院现阶段的薄弱环节，各部门支出随意性较大。大部分临床科室对此不重视。</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2、医院专用设备、广播电影设备、电气设备、计算机设备、办公设备已达到规定折旧年限的数量已超过一半，有更新的需求。</w:t>
      </w:r>
    </w:p>
    <w:p>
      <w:pPr>
        <w:pStyle w:val="23"/>
        <w:spacing w:line="560" w:lineRule="exact"/>
        <w:ind w:firstLine="640" w:firstLineChars="200"/>
        <w:rPr>
          <w:rFonts w:ascii="仿宋" w:hAnsi="仿宋" w:eastAsia="仿宋" w:cs="仿宋_GB2312"/>
          <w:sz w:val="32"/>
          <w:szCs w:val="32"/>
        </w:rPr>
      </w:pPr>
      <w:r>
        <w:rPr>
          <w:rFonts w:hint="eastAsia" w:ascii="仿宋_GB2312" w:eastAsia="仿宋_GB2312"/>
          <w:sz w:val="32"/>
          <w:szCs w:val="32"/>
          <w:lang w:val="zh-CN" w:eastAsia="zh-CN"/>
        </w:rPr>
        <w:t>（三）改进建议。</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1、加强预算管理及内控管理，这不单需要院领导支持、各科室配合才能搞好这一工作，也需要购买现代化的信息化软件来实现。</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2、应加强对固定资产管理，特别是新购入的专用设备的管理，提高固定资产的利用效率。</w:t>
      </w:r>
    </w:p>
    <w:p>
      <w:pPr>
        <w:spacing w:line="600"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巴中市中心医院</w:t>
      </w:r>
    </w:p>
    <w:p>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lang w:eastAsia="zh-CN"/>
        </w:rPr>
        <w:t>抗疫特别国债资金项目</w:t>
      </w:r>
      <w:r>
        <w:rPr>
          <w:rFonts w:hint="eastAsia" w:ascii="方正小标宋简体" w:hAnsi="宋体" w:eastAsia="方正小标宋简体"/>
          <w:color w:val="000000"/>
          <w:kern w:val="0"/>
          <w:sz w:val="40"/>
          <w:szCs w:val="44"/>
        </w:rPr>
        <w:t>2020年度绩效</w:t>
      </w: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lang w:eastAsia="zh-CN"/>
        </w:rPr>
        <w:t>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一、项目概况</w:t>
      </w:r>
    </w:p>
    <w:p>
      <w:pPr>
        <w:pStyle w:val="23"/>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）项目基本情况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Calibri" w:eastAsia="仿宋_GB2312" w:cs="仿宋"/>
          <w:color w:val="000000"/>
          <w:kern w:val="0"/>
          <w:sz w:val="32"/>
          <w:szCs w:val="32"/>
          <w:lang w:val="en-US" w:eastAsia="zh-CN" w:bidi="ar-SA"/>
        </w:rPr>
        <w:t>《财政厅关于下达2020年抗疫特别国债支出预算的通知》（川财债﹝2020﹞43号）下达巴中市中心医院抗疫特别国债资金1624万元，其中：抗疫相关支出402万元；公共卫生体系建设和重大疫情防控救治体系建设1222万元。</w:t>
      </w:r>
    </w:p>
    <w:p>
      <w:pPr>
        <w:pStyle w:val="23"/>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CN" w:eastAsia="zh-CN"/>
        </w:rPr>
        <w:t>（二）</w:t>
      </w:r>
      <w:r>
        <w:rPr>
          <w:rFonts w:hint="eastAsia" w:ascii="仿宋_GB2312" w:hAnsi="仿宋_GB2312" w:eastAsia="仿宋_GB2312" w:cs="仿宋_GB2312"/>
          <w:b w:val="0"/>
          <w:bCs w:val="0"/>
          <w:sz w:val="32"/>
          <w:szCs w:val="32"/>
          <w:lang w:eastAsia="zh-CN"/>
        </w:rPr>
        <w:t>项目绩效目标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中央拨付抗疫特别国债资金的绩效目标是为了提升重大疫情防疫救治能力，保障人民群众生命安全，打赢新型冠状病毒感染的肺炎防控攻坚战。</w:t>
      </w:r>
    </w:p>
    <w:p>
      <w:pPr>
        <w:ind w:firstLine="643" w:firstLineChars="20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二、项目资金使用情况</w:t>
      </w:r>
      <w:r>
        <w:rPr>
          <w:rFonts w:hint="eastAsia" w:ascii="黑体" w:hAnsi="黑体" w:eastAsia="黑体" w:cs="黑体"/>
          <w:b/>
          <w:bCs/>
          <w:sz w:val="32"/>
          <w:szCs w:val="32"/>
          <w:lang w:val="en-US" w:eastAsia="zh-CN"/>
        </w:rPr>
        <w:tab/>
      </w:r>
    </w:p>
    <w:p>
      <w:pPr>
        <w:ind w:firstLine="640" w:firstLineChars="200"/>
        <w:rPr>
          <w:rFonts w:hint="eastAsia"/>
          <w:sz w:val="30"/>
          <w:szCs w:val="30"/>
          <w:lang w:eastAsia="zh-CN"/>
        </w:rPr>
      </w:pPr>
      <w:r>
        <w:rPr>
          <w:rFonts w:hint="eastAsia" w:ascii="仿宋_GB2312" w:hAnsi="仿宋_GB2312" w:eastAsia="仿宋_GB2312" w:cs="仿宋_GB2312"/>
          <w:sz w:val="32"/>
          <w:szCs w:val="32"/>
          <w:lang w:val="en-US" w:eastAsia="zh-CN"/>
        </w:rPr>
        <w:t>巴中市中心医院收到</w:t>
      </w:r>
      <w:r>
        <w:rPr>
          <w:rFonts w:hint="eastAsia" w:ascii="仿宋_GB2312" w:hAnsi="仿宋_GB2312" w:eastAsia="仿宋_GB2312" w:cs="仿宋_GB2312"/>
          <w:sz w:val="32"/>
          <w:szCs w:val="32"/>
          <w:lang w:eastAsia="zh-CN"/>
        </w:rPr>
        <w:t>抗疫特别国债资金</w:t>
      </w:r>
      <w:r>
        <w:rPr>
          <w:rFonts w:hint="eastAsia" w:ascii="仿宋_GB2312" w:hAnsi="仿宋_GB2312" w:eastAsia="仿宋_GB2312" w:cs="仿宋_GB2312"/>
          <w:sz w:val="32"/>
          <w:szCs w:val="32"/>
          <w:lang w:val="en-US" w:eastAsia="zh-CN"/>
        </w:rPr>
        <w:t>1624</w:t>
      </w:r>
      <w:r>
        <w:rPr>
          <w:rFonts w:hint="eastAsia" w:ascii="仿宋_GB2312" w:hAnsi="仿宋_GB2312" w:eastAsia="仿宋_GB2312" w:cs="仿宋_GB2312"/>
          <w:sz w:val="32"/>
          <w:szCs w:val="32"/>
          <w:lang w:eastAsia="zh-CN"/>
        </w:rPr>
        <w:t>万元。其中：抗疫相关支出项目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公共卫生体系建设和重大疫情防控救治体系建设1</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按《四川省财政厅关于抗疫特别国债资金使用进度的通报》（川财债函【2020】45号）中“对9月底前仍无法开工或年内抗疫特别国债资金难以使用完毕的项目，允许按政策在领域之间进行调整”的规定，已将“南坝院区核医学楼建设”项目抗疫特别国债资金1222万元，调整为我院“抗疫专用设备和物资储备购置”项目支出，原项目已支出的57014元抵扣公立医院运转经费），资金全部使用完毕。</w:t>
      </w:r>
    </w:p>
    <w:p>
      <w:pPr>
        <w:ind w:firstLine="602" w:firstLineChars="200"/>
        <w:jc w:val="both"/>
        <w:rPr>
          <w:rFonts w:hint="eastAsia" w:ascii="黑体" w:hAnsi="黑体" w:eastAsia="黑体" w:cs="黑体"/>
          <w:b/>
          <w:bCs/>
          <w:sz w:val="30"/>
          <w:szCs w:val="30"/>
        </w:rPr>
      </w:pPr>
      <w:r>
        <w:rPr>
          <w:rFonts w:hint="eastAsia" w:ascii="黑体" w:hAnsi="黑体" w:eastAsia="黑体" w:cs="黑体"/>
          <w:b/>
          <w:bCs/>
          <w:sz w:val="30"/>
          <w:szCs w:val="30"/>
          <w:lang w:eastAsia="zh-CN"/>
        </w:rPr>
        <w:t>三、</w:t>
      </w:r>
      <w:r>
        <w:rPr>
          <w:rFonts w:hint="eastAsia" w:ascii="黑体" w:hAnsi="黑体" w:eastAsia="黑体" w:cs="黑体"/>
          <w:b/>
          <w:bCs/>
          <w:sz w:val="30"/>
          <w:szCs w:val="30"/>
        </w:rPr>
        <w:t>总体绩效目标完成情况</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巴中市中心医院抗疫特别国债资金的决策依据充分，绩效目标明确，组织实施有序，取得了较好的社会效益，所购置的医疗设备防护用品等为完成控制疫情，及时发现新冠病毒感染病例，全面</w:t>
      </w:r>
      <w:r>
        <w:rPr>
          <w:rFonts w:hint="eastAsia" w:ascii="仿宋_GB2312" w:hAnsi="宋体" w:eastAsia="仿宋_GB2312" w:cs="Times New Roman"/>
          <w:kern w:val="2"/>
          <w:sz w:val="32"/>
          <w:szCs w:val="32"/>
          <w:lang w:val="en-US" w:eastAsia="zh-CN" w:bidi="ar-SA"/>
        </w:rPr>
        <w:t>提供有效救治，保护人民生命安全，有重大意义。</w:t>
      </w:r>
    </w:p>
    <w:p>
      <w:pPr>
        <w:ind w:firstLine="600" w:firstLineChars="200"/>
        <w:rPr>
          <w:rFonts w:hint="eastAsia" w:ascii="黑体" w:hAnsi="黑体" w:eastAsia="黑体" w:cs="黑体"/>
          <w:bCs/>
          <w:sz w:val="30"/>
          <w:szCs w:val="30"/>
          <w:lang w:eastAsia="zh-CN"/>
        </w:rPr>
      </w:pPr>
      <w:r>
        <w:rPr>
          <w:rFonts w:hint="eastAsia" w:ascii="黑体" w:hAnsi="黑体" w:eastAsia="黑体" w:cs="黑体"/>
          <w:bCs/>
          <w:sz w:val="30"/>
          <w:szCs w:val="30"/>
          <w:lang w:eastAsia="zh-CN"/>
        </w:rPr>
        <w:t>四</w:t>
      </w:r>
      <w:r>
        <w:rPr>
          <w:rFonts w:hint="eastAsia" w:ascii="黑体" w:hAnsi="黑体" w:eastAsia="黑体" w:cs="黑体"/>
          <w:bCs/>
          <w:sz w:val="30"/>
          <w:szCs w:val="30"/>
        </w:rPr>
        <w:t>、</w:t>
      </w:r>
      <w:r>
        <w:rPr>
          <w:rFonts w:hint="eastAsia" w:ascii="黑体" w:hAnsi="黑体" w:eastAsia="黑体" w:cs="黑体"/>
          <w:bCs/>
          <w:sz w:val="30"/>
          <w:szCs w:val="30"/>
          <w:lang w:eastAsia="zh-CN"/>
        </w:rPr>
        <w:t>评价结论</w:t>
      </w:r>
    </w:p>
    <w:p>
      <w:pPr>
        <w:spacing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总体绩效目标和绩效指标完成</w:t>
      </w:r>
      <w:r>
        <w:rPr>
          <w:rFonts w:hint="eastAsia" w:ascii="仿宋_GB2312" w:hAnsi="仿宋_GB2312" w:eastAsia="仿宋_GB2312" w:cs="仿宋_GB2312"/>
          <w:b w:val="0"/>
          <w:bCs w:val="0"/>
          <w:sz w:val="32"/>
          <w:szCs w:val="32"/>
          <w:lang w:eastAsia="zh-CN"/>
        </w:rPr>
        <w:t>较好，</w:t>
      </w:r>
      <w:r>
        <w:rPr>
          <w:rFonts w:hint="eastAsia" w:ascii="仿宋_GB2312" w:hAnsi="仿宋_GB2312" w:eastAsia="仿宋_GB2312" w:cs="仿宋_GB2312"/>
          <w:b w:val="0"/>
          <w:bCs w:val="0"/>
          <w:sz w:val="32"/>
          <w:szCs w:val="32"/>
          <w:lang w:val="en-US" w:eastAsia="zh-CN"/>
        </w:rPr>
        <w:t>执行进度达到100%。</w:t>
      </w:r>
      <w:r>
        <w:rPr>
          <w:rFonts w:hint="eastAsia" w:ascii="仿宋_GB2312" w:hAnsi="仿宋_GB2312" w:eastAsia="仿宋_GB2312" w:cs="仿宋_GB2312"/>
          <w:b w:val="0"/>
          <w:bCs w:val="0"/>
          <w:sz w:val="32"/>
          <w:szCs w:val="32"/>
        </w:rPr>
        <w:t>直达资金系统中录入的抗疫特别国债支出数据及时准确、真实可靠；抗疫特别国债资金</w:t>
      </w:r>
      <w:r>
        <w:rPr>
          <w:rFonts w:hint="eastAsia" w:ascii="仿宋_GB2312" w:hAnsi="仿宋_GB2312" w:eastAsia="仿宋_GB2312" w:cs="仿宋_GB2312"/>
          <w:b w:val="0"/>
          <w:bCs w:val="0"/>
          <w:sz w:val="32"/>
          <w:szCs w:val="32"/>
          <w:lang w:eastAsia="zh-CN"/>
        </w:rPr>
        <w:t>不</w:t>
      </w:r>
      <w:r>
        <w:rPr>
          <w:rFonts w:hint="eastAsia" w:ascii="仿宋_GB2312" w:hAnsi="仿宋_GB2312" w:eastAsia="仿宋_GB2312" w:cs="仿宋_GB2312"/>
          <w:b w:val="0"/>
          <w:bCs w:val="0"/>
          <w:sz w:val="32"/>
          <w:szCs w:val="32"/>
        </w:rPr>
        <w:t>存在以拨代支、虚列支出、超进度拨款，违规拨付给政府融资平台公司等问题</w:t>
      </w:r>
      <w:r>
        <w:rPr>
          <w:rFonts w:hint="eastAsia" w:ascii="仿宋_GB2312" w:hAnsi="仿宋_GB2312" w:eastAsia="仿宋_GB2312" w:cs="仿宋_GB2312"/>
          <w:b w:val="0"/>
          <w:bCs w:val="0"/>
          <w:sz w:val="32"/>
          <w:szCs w:val="32"/>
          <w:lang w:eastAsia="zh-CN"/>
        </w:rPr>
        <w:t>。</w:t>
      </w:r>
    </w:p>
    <w:p>
      <w:pPr>
        <w:spacing w:line="600" w:lineRule="exact"/>
        <w:rPr>
          <w:rFonts w:hint="eastAsia" w:ascii="仿宋_GB2312" w:hAnsi="仿宋_GB2312" w:eastAsia="仿宋_GB2312" w:cs="仿宋_GB2312"/>
          <w:b w:val="0"/>
          <w:bCs w:val="0"/>
          <w:sz w:val="32"/>
          <w:szCs w:val="32"/>
          <w:lang w:eastAsia="zh-CN"/>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numPr>
          <w:ilvl w:val="0"/>
          <w:numId w:val="6"/>
        </w:numPr>
        <w:spacing w:line="600" w:lineRule="exact"/>
        <w:ind w:firstLine="2640" w:firstLineChars="600"/>
        <w:jc w:val="both"/>
        <w:outlineLvl w:val="0"/>
        <w:rPr>
          <w:rStyle w:val="25"/>
          <w:rFonts w:hint="eastAsia" w:ascii="黑体" w:hAnsi="黑体" w:eastAsia="黑体"/>
          <w:b w:val="0"/>
          <w:lang w:eastAsia="zh-CN"/>
        </w:rPr>
      </w:pPr>
      <w:bookmarkStart w:id="56" w:name="_Toc15396618"/>
      <w:r>
        <w:rPr>
          <w:rStyle w:val="25"/>
          <w:rFonts w:hint="eastAsia" w:ascii="黑体" w:hAnsi="黑体" w:eastAsia="黑体"/>
          <w:b w:val="0"/>
        </w:rPr>
        <w:t>分 附</w:t>
      </w:r>
      <w:bookmarkEnd w:id="55"/>
      <w:bookmarkEnd w:id="56"/>
      <w:r>
        <w:rPr>
          <w:rStyle w:val="25"/>
          <w:rFonts w:hint="eastAsia" w:ascii="黑体" w:hAnsi="黑体" w:eastAsia="黑体"/>
          <w:b w:val="0"/>
          <w:lang w:eastAsia="zh-CN"/>
        </w:rPr>
        <w:t>表</w:t>
      </w:r>
      <w:bookmarkStart w:id="57" w:name="_Toc15396619"/>
    </w:p>
    <w:p>
      <w:pPr>
        <w:pStyle w:val="3"/>
        <w:rPr>
          <w:rStyle w:val="26"/>
          <w:rFonts w:hint="eastAsia" w:ascii="仿宋" w:hAnsi="仿宋" w:eastAsia="仿宋"/>
          <w:b w:val="0"/>
          <w:bCs w:val="0"/>
        </w:rPr>
      </w:pPr>
      <w:r>
        <w:rPr>
          <w:rStyle w:val="26"/>
          <w:rFonts w:hint="eastAsia" w:ascii="仿宋" w:hAnsi="仿宋" w:eastAsia="仿宋"/>
          <w:b w:val="0"/>
          <w:bCs w:val="0"/>
        </w:rPr>
        <w:t>一、收入支出决算总表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8"/>
    </w:p>
    <w:p>
      <w:pPr>
        <w:pStyle w:val="3"/>
        <w:rPr>
          <w:rFonts w:ascii="仿宋" w:hAnsi="仿宋" w:eastAsia="仿宋"/>
          <w:color w:val="000000"/>
        </w:rPr>
      </w:pPr>
      <w:bookmarkStart w:id="59"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9"/>
    </w:p>
    <w:p>
      <w:pPr>
        <w:pStyle w:val="3"/>
        <w:rPr>
          <w:rFonts w:ascii="仿宋" w:hAnsi="仿宋" w:eastAsia="仿宋"/>
          <w:b w:val="0"/>
          <w:color w:val="000000"/>
        </w:rPr>
      </w:pPr>
      <w:bookmarkStart w:id="6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0"/>
    </w:p>
    <w:p>
      <w:pPr>
        <w:pStyle w:val="3"/>
        <w:rPr>
          <w:rStyle w:val="26"/>
          <w:rFonts w:ascii="仿宋" w:hAnsi="仿宋" w:eastAsia="仿宋"/>
          <w:b w:val="0"/>
          <w:bCs w:val="0"/>
        </w:rPr>
      </w:pPr>
      <w:bookmarkStart w:id="6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1"/>
      <w:bookmarkStart w:id="62"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8"/>
    </w:p>
    <w:p>
      <w:pPr>
        <w:pStyle w:val="11"/>
        <w:adjustRightInd w:val="0"/>
        <w:snapToGrid w:val="0"/>
        <w:spacing w:line="440" w:lineRule="exact"/>
        <w:ind w:left="0" w:leftChars="0" w:firstLine="0" w:firstLineChars="0"/>
        <w:jc w:val="left"/>
        <w:rPr>
          <w:rStyle w:val="26"/>
          <w:rFonts w:hint="eastAsia" w:ascii="仿宋" w:hAnsi="仿宋" w:eastAsia="仿宋"/>
          <w:b w:val="0"/>
          <w:bCs w:val="0"/>
          <w:lang w:val="en-US" w:eastAsia="zh-CN" w:bidi="ar-SA"/>
        </w:rPr>
      </w:pPr>
      <w:r>
        <w:rPr>
          <w:rStyle w:val="26"/>
          <w:rFonts w:hint="eastAsia" w:ascii="仿宋" w:hAnsi="仿宋" w:eastAsia="仿宋"/>
          <w:b w:val="0"/>
          <w:bCs w:val="0"/>
          <w:lang w:val="en-US" w:eastAsia="zh-CN" w:bidi="ar-SA"/>
        </w:rPr>
        <w:t>十三、国有资本经营预算财政拨款收入支出决算表</w:t>
      </w:r>
    </w:p>
    <w:p>
      <w:pPr>
        <w:pStyle w:val="11"/>
        <w:adjustRightInd w:val="0"/>
        <w:snapToGrid w:val="0"/>
        <w:spacing w:line="440" w:lineRule="exact"/>
        <w:ind w:left="0" w:leftChars="0" w:firstLine="0" w:firstLineChars="0"/>
        <w:jc w:val="left"/>
        <w:rPr>
          <w:rStyle w:val="26"/>
          <w:rFonts w:hint="eastAsia" w:ascii="仿宋" w:hAnsi="仿宋" w:eastAsia="仿宋"/>
          <w:b w:val="0"/>
          <w:bCs w:val="0"/>
          <w:lang w:val="en-US" w:eastAsia="zh-CN" w:bidi="ar-SA"/>
        </w:rPr>
      </w:pPr>
    </w:p>
    <w:p>
      <w:pPr>
        <w:pStyle w:val="11"/>
        <w:adjustRightInd w:val="0"/>
        <w:snapToGrid w:val="0"/>
        <w:spacing w:line="440" w:lineRule="exact"/>
        <w:ind w:left="0" w:leftChars="0" w:firstLine="0" w:firstLineChars="0"/>
        <w:jc w:val="left"/>
        <w:rPr>
          <w:rStyle w:val="26"/>
          <w:rFonts w:hint="eastAsia" w:ascii="仿宋" w:hAnsi="仿宋" w:eastAsia="仿宋"/>
          <w:b w:val="0"/>
          <w:bCs w:val="0"/>
          <w:lang w:val="en-US" w:eastAsia="zh-CN" w:bidi="ar-SA"/>
        </w:rPr>
      </w:pPr>
      <w:r>
        <w:rPr>
          <w:rStyle w:val="26"/>
          <w:rFonts w:hint="eastAsia" w:ascii="仿宋" w:hAnsi="仿宋" w:eastAsia="仿宋"/>
          <w:b w:val="0"/>
          <w:bCs w:val="0"/>
          <w:lang w:val="en-US" w:eastAsia="zh-CN" w:bidi="ar-SA"/>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72A0CF"/>
    <w:multiLevelType w:val="singleLevel"/>
    <w:tmpl w:val="5F72A0CF"/>
    <w:lvl w:ilvl="0" w:tentative="0">
      <w:start w:val="4"/>
      <w:numFmt w:val="chineseCounting"/>
      <w:suff w:val="nothing"/>
      <w:lvlText w:val="%1、"/>
      <w:lvlJc w:val="left"/>
    </w:lvl>
  </w:abstractNum>
  <w:abstractNum w:abstractNumId="4">
    <w:nsid w:val="5F72BB72"/>
    <w:multiLevelType w:val="singleLevel"/>
    <w:tmpl w:val="5F72BB72"/>
    <w:lvl w:ilvl="0" w:tentative="0">
      <w:start w:val="1"/>
      <w:numFmt w:val="decimal"/>
      <w:lvlText w:val="%1."/>
      <w:lvlJc w:val="left"/>
      <w:pPr>
        <w:tabs>
          <w:tab w:val="left" w:pos="312"/>
        </w:tabs>
      </w:pPr>
    </w:lvl>
  </w:abstractNum>
  <w:abstractNum w:abstractNumId="5">
    <w:nsid w:val="61381A98"/>
    <w:multiLevelType w:val="singleLevel"/>
    <w:tmpl w:val="61381A98"/>
    <w:lvl w:ilvl="0" w:tentative="0">
      <w:start w:val="5"/>
      <w:numFmt w:val="chineseCounting"/>
      <w:suff w:val="nothing"/>
      <w:lvlText w:val="第%1部"/>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5CC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7348"/>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0C4F"/>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453FA"/>
    <w:rsid w:val="01212A54"/>
    <w:rsid w:val="01B767DE"/>
    <w:rsid w:val="01C54885"/>
    <w:rsid w:val="01D72ED7"/>
    <w:rsid w:val="02D33065"/>
    <w:rsid w:val="03353552"/>
    <w:rsid w:val="03B9518C"/>
    <w:rsid w:val="04B15628"/>
    <w:rsid w:val="04D05755"/>
    <w:rsid w:val="056F1AF6"/>
    <w:rsid w:val="058475BB"/>
    <w:rsid w:val="05BB75CA"/>
    <w:rsid w:val="062B2230"/>
    <w:rsid w:val="07833173"/>
    <w:rsid w:val="09DD261D"/>
    <w:rsid w:val="0A3F7927"/>
    <w:rsid w:val="0B3F6E9D"/>
    <w:rsid w:val="0B44570B"/>
    <w:rsid w:val="0B6D081E"/>
    <w:rsid w:val="0BE56B64"/>
    <w:rsid w:val="0C0F47D1"/>
    <w:rsid w:val="0C7F0479"/>
    <w:rsid w:val="0CC8203A"/>
    <w:rsid w:val="0D0C70D9"/>
    <w:rsid w:val="0D437758"/>
    <w:rsid w:val="0D447BF7"/>
    <w:rsid w:val="0D55575D"/>
    <w:rsid w:val="0DC273AE"/>
    <w:rsid w:val="0DC42D22"/>
    <w:rsid w:val="0E491836"/>
    <w:rsid w:val="0E647132"/>
    <w:rsid w:val="0E6E27FA"/>
    <w:rsid w:val="0E750B58"/>
    <w:rsid w:val="0EBD354E"/>
    <w:rsid w:val="0FAD6491"/>
    <w:rsid w:val="0FD139A5"/>
    <w:rsid w:val="10C055FF"/>
    <w:rsid w:val="10E330F1"/>
    <w:rsid w:val="10FE6AD6"/>
    <w:rsid w:val="111F38E1"/>
    <w:rsid w:val="11934EAD"/>
    <w:rsid w:val="11EB14D7"/>
    <w:rsid w:val="12631D0E"/>
    <w:rsid w:val="13BC55FE"/>
    <w:rsid w:val="13D0347A"/>
    <w:rsid w:val="14342BB5"/>
    <w:rsid w:val="14646AC4"/>
    <w:rsid w:val="14873F74"/>
    <w:rsid w:val="14DF487B"/>
    <w:rsid w:val="15501576"/>
    <w:rsid w:val="15E761A6"/>
    <w:rsid w:val="1669131B"/>
    <w:rsid w:val="16BB723D"/>
    <w:rsid w:val="16F903A1"/>
    <w:rsid w:val="16F970C7"/>
    <w:rsid w:val="175E78B4"/>
    <w:rsid w:val="17A939E8"/>
    <w:rsid w:val="18C103B8"/>
    <w:rsid w:val="18D52FE6"/>
    <w:rsid w:val="19500752"/>
    <w:rsid w:val="196709E7"/>
    <w:rsid w:val="19DF17B5"/>
    <w:rsid w:val="1ACE3491"/>
    <w:rsid w:val="1B4F5100"/>
    <w:rsid w:val="1BDB3CD8"/>
    <w:rsid w:val="1C38534B"/>
    <w:rsid w:val="1CCC4FC3"/>
    <w:rsid w:val="1D0A0D87"/>
    <w:rsid w:val="1E32537A"/>
    <w:rsid w:val="1E892FF7"/>
    <w:rsid w:val="1EBB665D"/>
    <w:rsid w:val="204835A1"/>
    <w:rsid w:val="213D1067"/>
    <w:rsid w:val="21514F7C"/>
    <w:rsid w:val="219F580A"/>
    <w:rsid w:val="22183C48"/>
    <w:rsid w:val="222253DF"/>
    <w:rsid w:val="22B10840"/>
    <w:rsid w:val="23F91296"/>
    <w:rsid w:val="240371BF"/>
    <w:rsid w:val="25894FE5"/>
    <w:rsid w:val="258C76E1"/>
    <w:rsid w:val="2662512E"/>
    <w:rsid w:val="269D46D8"/>
    <w:rsid w:val="26DD1134"/>
    <w:rsid w:val="273306B2"/>
    <w:rsid w:val="27566033"/>
    <w:rsid w:val="275726A9"/>
    <w:rsid w:val="27601028"/>
    <w:rsid w:val="27A25774"/>
    <w:rsid w:val="27D67F9F"/>
    <w:rsid w:val="289B12D1"/>
    <w:rsid w:val="289B1A0B"/>
    <w:rsid w:val="29080E4B"/>
    <w:rsid w:val="294739D0"/>
    <w:rsid w:val="297A4E58"/>
    <w:rsid w:val="29901D8F"/>
    <w:rsid w:val="29FD04D3"/>
    <w:rsid w:val="2DE6389B"/>
    <w:rsid w:val="2E6C1E27"/>
    <w:rsid w:val="2ECE59BF"/>
    <w:rsid w:val="2FA564C3"/>
    <w:rsid w:val="309E7DE6"/>
    <w:rsid w:val="3119107C"/>
    <w:rsid w:val="319F7F4E"/>
    <w:rsid w:val="31B142CC"/>
    <w:rsid w:val="331B5954"/>
    <w:rsid w:val="33810E4E"/>
    <w:rsid w:val="344E7436"/>
    <w:rsid w:val="346D3EBA"/>
    <w:rsid w:val="348D6091"/>
    <w:rsid w:val="34A4214B"/>
    <w:rsid w:val="35115886"/>
    <w:rsid w:val="35505E7A"/>
    <w:rsid w:val="355963C8"/>
    <w:rsid w:val="358B6666"/>
    <w:rsid w:val="35AC71DA"/>
    <w:rsid w:val="35DC5F70"/>
    <w:rsid w:val="36B64A32"/>
    <w:rsid w:val="38440AF2"/>
    <w:rsid w:val="38F72F46"/>
    <w:rsid w:val="393C28E5"/>
    <w:rsid w:val="39DB5868"/>
    <w:rsid w:val="3A6A4D96"/>
    <w:rsid w:val="3B09079C"/>
    <w:rsid w:val="3BF879E7"/>
    <w:rsid w:val="3D3B0AE3"/>
    <w:rsid w:val="3DDF0C4A"/>
    <w:rsid w:val="3E265DA3"/>
    <w:rsid w:val="3E390BBB"/>
    <w:rsid w:val="3E6D173B"/>
    <w:rsid w:val="3EC9235C"/>
    <w:rsid w:val="3F207DEE"/>
    <w:rsid w:val="3FA72D26"/>
    <w:rsid w:val="3FDA22AC"/>
    <w:rsid w:val="3FF53A2D"/>
    <w:rsid w:val="40EC4DE5"/>
    <w:rsid w:val="41324E7C"/>
    <w:rsid w:val="420A00BC"/>
    <w:rsid w:val="42757712"/>
    <w:rsid w:val="42B428F3"/>
    <w:rsid w:val="42C77D59"/>
    <w:rsid w:val="42F75359"/>
    <w:rsid w:val="4339087F"/>
    <w:rsid w:val="436A7692"/>
    <w:rsid w:val="439C3283"/>
    <w:rsid w:val="441A2721"/>
    <w:rsid w:val="444C3605"/>
    <w:rsid w:val="44647EBC"/>
    <w:rsid w:val="45066306"/>
    <w:rsid w:val="453F2AD4"/>
    <w:rsid w:val="45C71F68"/>
    <w:rsid w:val="46122AE0"/>
    <w:rsid w:val="46443393"/>
    <w:rsid w:val="46884992"/>
    <w:rsid w:val="46B42746"/>
    <w:rsid w:val="474D10AD"/>
    <w:rsid w:val="479F78F9"/>
    <w:rsid w:val="485F2761"/>
    <w:rsid w:val="487D15BC"/>
    <w:rsid w:val="49417726"/>
    <w:rsid w:val="49C42C21"/>
    <w:rsid w:val="49CD7E80"/>
    <w:rsid w:val="49D00226"/>
    <w:rsid w:val="4A297D1D"/>
    <w:rsid w:val="4A397212"/>
    <w:rsid w:val="4B082675"/>
    <w:rsid w:val="4B391B50"/>
    <w:rsid w:val="4B527FD0"/>
    <w:rsid w:val="4B871730"/>
    <w:rsid w:val="4BBD7E94"/>
    <w:rsid w:val="4C394391"/>
    <w:rsid w:val="4C5226CF"/>
    <w:rsid w:val="4D7B083D"/>
    <w:rsid w:val="4DE85807"/>
    <w:rsid w:val="4E36343C"/>
    <w:rsid w:val="4E484C1B"/>
    <w:rsid w:val="4E7122F8"/>
    <w:rsid w:val="4ECE2238"/>
    <w:rsid w:val="4F323FC3"/>
    <w:rsid w:val="4FCF37AE"/>
    <w:rsid w:val="50450C87"/>
    <w:rsid w:val="52942C5F"/>
    <w:rsid w:val="529757A3"/>
    <w:rsid w:val="52BE5B67"/>
    <w:rsid w:val="52C767D4"/>
    <w:rsid w:val="52CC63AB"/>
    <w:rsid w:val="5343637B"/>
    <w:rsid w:val="534F44A0"/>
    <w:rsid w:val="537735F0"/>
    <w:rsid w:val="53D71C33"/>
    <w:rsid w:val="54462E7E"/>
    <w:rsid w:val="54684B65"/>
    <w:rsid w:val="549635BC"/>
    <w:rsid w:val="54994EF4"/>
    <w:rsid w:val="54E01FD7"/>
    <w:rsid w:val="559C6F94"/>
    <w:rsid w:val="55EF4BD7"/>
    <w:rsid w:val="56D40AFD"/>
    <w:rsid w:val="56ED180A"/>
    <w:rsid w:val="574557C3"/>
    <w:rsid w:val="57603170"/>
    <w:rsid w:val="583D639A"/>
    <w:rsid w:val="59B419FA"/>
    <w:rsid w:val="5A185400"/>
    <w:rsid w:val="5A423123"/>
    <w:rsid w:val="5BEA2EA6"/>
    <w:rsid w:val="5C5A341C"/>
    <w:rsid w:val="5CB84872"/>
    <w:rsid w:val="5CFD774D"/>
    <w:rsid w:val="5D94604F"/>
    <w:rsid w:val="5DA57AF5"/>
    <w:rsid w:val="5DE5703D"/>
    <w:rsid w:val="5E9A633A"/>
    <w:rsid w:val="616823CF"/>
    <w:rsid w:val="624D1D9C"/>
    <w:rsid w:val="62E22141"/>
    <w:rsid w:val="63263084"/>
    <w:rsid w:val="639A22F7"/>
    <w:rsid w:val="64D95B7C"/>
    <w:rsid w:val="67A15A1D"/>
    <w:rsid w:val="67CA6D20"/>
    <w:rsid w:val="68191CDE"/>
    <w:rsid w:val="683F2DE0"/>
    <w:rsid w:val="68EF19FE"/>
    <w:rsid w:val="69465691"/>
    <w:rsid w:val="69A8760D"/>
    <w:rsid w:val="69C51B04"/>
    <w:rsid w:val="69F1063B"/>
    <w:rsid w:val="69F24510"/>
    <w:rsid w:val="6AB0610F"/>
    <w:rsid w:val="6ABD5A5F"/>
    <w:rsid w:val="6B2D4054"/>
    <w:rsid w:val="6B8E04AA"/>
    <w:rsid w:val="6BA3496F"/>
    <w:rsid w:val="6D98782B"/>
    <w:rsid w:val="6EEF68C3"/>
    <w:rsid w:val="6F5275A4"/>
    <w:rsid w:val="6F8E5969"/>
    <w:rsid w:val="703019F9"/>
    <w:rsid w:val="70775163"/>
    <w:rsid w:val="70991CB6"/>
    <w:rsid w:val="70C7378C"/>
    <w:rsid w:val="71422BE3"/>
    <w:rsid w:val="71944BD3"/>
    <w:rsid w:val="71DB1A7D"/>
    <w:rsid w:val="72734D90"/>
    <w:rsid w:val="72C755DC"/>
    <w:rsid w:val="732A7587"/>
    <w:rsid w:val="749132EE"/>
    <w:rsid w:val="75230E5F"/>
    <w:rsid w:val="75911D71"/>
    <w:rsid w:val="76791C1E"/>
    <w:rsid w:val="76BD7F01"/>
    <w:rsid w:val="77DD1491"/>
    <w:rsid w:val="7AC53950"/>
    <w:rsid w:val="7B3B1028"/>
    <w:rsid w:val="7B6E7F5F"/>
    <w:rsid w:val="7B773F26"/>
    <w:rsid w:val="7B830405"/>
    <w:rsid w:val="7C0B0BCF"/>
    <w:rsid w:val="7C8D1508"/>
    <w:rsid w:val="7CE73BF4"/>
    <w:rsid w:val="7D5D445B"/>
    <w:rsid w:val="7D6720DB"/>
    <w:rsid w:val="7D836995"/>
    <w:rsid w:val="7DFB6343"/>
    <w:rsid w:val="7E283E19"/>
    <w:rsid w:val="7E755D94"/>
    <w:rsid w:val="7E9E7578"/>
    <w:rsid w:val="7EE26C0E"/>
    <w:rsid w:val="7EFF24C0"/>
    <w:rsid w:val="7F6779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kes.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Documents%20and%20Settings\Administrator\&#26700;&#38754;\kes.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kes.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k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收入支出决算变动情况图</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                                                单位：万元</a:t>
            </a:r>
            <a:endParaRPr altLang="en-US"/>
          </a:p>
        </c:rich>
      </c:tx>
      <c:layout>
        <c:manualLayout>
          <c:xMode val="edge"/>
          <c:yMode val="edge"/>
          <c:x val="0.185"/>
          <c:y val="0.03125"/>
        </c:manualLayout>
      </c:layout>
      <c:overlay val="0"/>
      <c:spPr>
        <a:noFill/>
        <a:ln>
          <a:noFill/>
        </a:ln>
        <a:effectLst/>
      </c:spPr>
    </c:title>
    <c:autoTitleDeleted val="0"/>
    <c:plotArea>
      <c:layout/>
      <c:barChart>
        <c:barDir val="col"/>
        <c:grouping val="clustered"/>
        <c:varyColors val="0"/>
        <c:ser>
          <c:idx val="0"/>
          <c:order val="0"/>
          <c:tx>
            <c:strRef>
              <c:f>[kes.xls]Sheet9!$B$166</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[kes.xls]Sheet9!$C$165:$D$165</c:f>
              <c:strCache>
                <c:ptCount val="2"/>
                <c:pt idx="0">
                  <c:v>收入</c:v>
                </c:pt>
                <c:pt idx="1">
                  <c:v>支出</c:v>
                </c:pt>
              </c:strCache>
            </c:strRef>
          </c:cat>
          <c:val>
            <c:numRef>
              <c:f>[kes.xls]Sheet9!$C$166:$D$166</c:f>
              <c:numCache>
                <c:formatCode>General</c:formatCode>
                <c:ptCount val="2"/>
                <c:pt idx="0">
                  <c:v>100316.76</c:v>
                </c:pt>
                <c:pt idx="1">
                  <c:v>102667.34</c:v>
                </c:pt>
              </c:numCache>
            </c:numRef>
          </c:val>
        </c:ser>
        <c:ser>
          <c:idx val="1"/>
          <c:order val="1"/>
          <c:tx>
            <c:strRef>
              <c:f>[kes.xls]Sheet9!$B$167</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[kes.xls]Sheet9!$C$165:$D$165</c:f>
              <c:strCache>
                <c:ptCount val="2"/>
                <c:pt idx="0">
                  <c:v>收入</c:v>
                </c:pt>
                <c:pt idx="1">
                  <c:v>支出</c:v>
                </c:pt>
              </c:strCache>
            </c:strRef>
          </c:cat>
          <c:val>
            <c:numRef>
              <c:f>[kes.xls]Sheet9!$C$167:$D$167</c:f>
              <c:numCache>
                <c:formatCode>General</c:formatCode>
                <c:ptCount val="2"/>
                <c:pt idx="0">
                  <c:v>96035.63</c:v>
                </c:pt>
                <c:pt idx="1">
                  <c:v>96204.35</c:v>
                </c:pt>
              </c:numCache>
            </c:numRef>
          </c:val>
        </c:ser>
        <c:dLbls>
          <c:showLegendKey val="0"/>
          <c:showVal val="1"/>
          <c:showCatName val="0"/>
          <c:showSerName val="0"/>
          <c:showPercent val="0"/>
          <c:showBubbleSize val="0"/>
        </c:dLbls>
        <c:gapWidth val="219"/>
        <c:overlap val="-27"/>
        <c:axId val="622942302"/>
        <c:axId val="182463353"/>
      </c:barChart>
      <c:catAx>
        <c:axId val="6229423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463353"/>
        <c:crosses val="autoZero"/>
        <c:auto val="1"/>
        <c:lblAlgn val="ctr"/>
        <c:lblOffset val="100"/>
        <c:noMultiLvlLbl val="0"/>
      </c:catAx>
      <c:valAx>
        <c:axId val="1824633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29423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manualLayout>
          <c:xMode val="edge"/>
          <c:yMode val="edge"/>
          <c:x val="0.347569444444444"/>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6915912727818"/>
                  <c:y val="-0.029803292300839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98704796958864"/>
                  <c:y val="0.0040088844352756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85167517992658"/>
                  <c:y val="-0.20663433232875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34428926825792"/>
                  <c:y val="-0.02283256295408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[kes.xls]Sheet9!$B$150:$B$153</c:f>
              <c:strCache>
                <c:ptCount val="4"/>
                <c:pt idx="0">
                  <c:v>一般公共预算财政拨款收入</c:v>
                </c:pt>
                <c:pt idx="1">
                  <c:v>政府性基金预算财政拨款收入</c:v>
                </c:pt>
                <c:pt idx="2">
                  <c:v>事业收入</c:v>
                </c:pt>
                <c:pt idx="3">
                  <c:v>其他收入</c:v>
                </c:pt>
              </c:strCache>
            </c:strRef>
          </c:cat>
          <c:val>
            <c:numRef>
              <c:f>[kes.xls]Sheet9!$C$150:$C$153</c:f>
              <c:numCache>
                <c:formatCode>#,##0.00</c:formatCode>
                <c:ptCount val="4"/>
                <c:pt idx="0">
                  <c:v>45583400</c:v>
                </c:pt>
                <c:pt idx="1">
                  <c:v>16240000</c:v>
                </c:pt>
                <c:pt idx="2">
                  <c:v>886902087.61</c:v>
                </c:pt>
                <c:pt idx="3">
                  <c:v>11630829.91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图3：2020年支出决算结构图</a:t>
            </a:r>
          </a:p>
        </c:rich>
      </c:tx>
      <c:layout>
        <c:manualLayout>
          <c:xMode val="edge"/>
          <c:yMode val="edge"/>
          <c:x val="0.248472222222222"/>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[kes.xls]Sheet9!$B$213:$B$214</c:f>
              <c:strCache>
                <c:ptCount val="2"/>
                <c:pt idx="0">
                  <c:v>基本支出</c:v>
                </c:pt>
                <c:pt idx="1">
                  <c:v>项目支出</c:v>
                </c:pt>
              </c:strCache>
            </c:strRef>
          </c:cat>
          <c:val>
            <c:numRef>
              <c:f>[kes.xls]Sheet9!$C$213:$C$214</c:f>
              <c:numCache>
                <c:formatCode>General</c:formatCode>
                <c:ptCount val="2"/>
                <c:pt idx="0">
                  <c:v>90765.94</c:v>
                </c:pt>
                <c:pt idx="1">
                  <c:v>5438.41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：财政拨款收入支出决算变动情况</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                                                        单位：万元</a:t>
            </a:r>
            <a:endParaRPr altLang="en-US"/>
          </a:p>
        </c:rich>
      </c:tx>
      <c:layout/>
      <c:overlay val="0"/>
      <c:spPr>
        <a:noFill/>
        <a:ln>
          <a:noFill/>
        </a:ln>
        <a:effectLst/>
      </c:spPr>
    </c:title>
    <c:autoTitleDeleted val="0"/>
    <c:plotArea>
      <c:layout/>
      <c:barChart>
        <c:barDir val="col"/>
        <c:grouping val="clustered"/>
        <c:varyColors val="0"/>
        <c:ser>
          <c:idx val="0"/>
          <c:order val="0"/>
          <c:tx>
            <c:strRef>
              <c:f>[kes.xls]Sheet9!$B$174</c:f>
              <c:strCache>
                <c:ptCount val="1"/>
                <c:pt idx="0">
                  <c:v>2019年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34</a:t>
                    </a:r>
                    <a:r>
                      <a:rPr lang="en-US" altLang="zh-CN"/>
                      <a:t>57</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[kes.xls]Sheet9!$C$173:$D$173</c:f>
              <c:strCache>
                <c:ptCount val="2"/>
                <c:pt idx="0">
                  <c:v>财政拨款收入</c:v>
                </c:pt>
                <c:pt idx="1">
                  <c:v>财政拨款支出</c:v>
                </c:pt>
              </c:strCache>
            </c:strRef>
          </c:cat>
          <c:val>
            <c:numRef>
              <c:f>[kes.xls]Sheet9!$C$174:$D$174</c:f>
              <c:numCache>
                <c:formatCode>General</c:formatCode>
                <c:ptCount val="2"/>
                <c:pt idx="0">
                  <c:v>3486</c:v>
                </c:pt>
                <c:pt idx="1">
                  <c:v>3478</c:v>
                </c:pt>
              </c:numCache>
            </c:numRef>
          </c:val>
        </c:ser>
        <c:ser>
          <c:idx val="1"/>
          <c:order val="1"/>
          <c:tx>
            <c:strRef>
              <c:f>[kes.xls]Sheet9!$B$175</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[kes.xls]Sheet9!$C$173:$D$173</c:f>
              <c:strCache>
                <c:ptCount val="2"/>
                <c:pt idx="0">
                  <c:v>财政拨款收入</c:v>
                </c:pt>
                <c:pt idx="1">
                  <c:v>财政拨款支出</c:v>
                </c:pt>
              </c:strCache>
            </c:strRef>
          </c:cat>
          <c:val>
            <c:numRef>
              <c:f>[kes.xls]Sheet9!$C$175:$D$175</c:f>
              <c:numCache>
                <c:formatCode>General</c:formatCode>
                <c:ptCount val="2"/>
                <c:pt idx="0">
                  <c:v>6182.34</c:v>
                </c:pt>
                <c:pt idx="1">
                  <c:v>5907.12</c:v>
                </c:pt>
              </c:numCache>
            </c:numRef>
          </c:val>
        </c:ser>
        <c:dLbls>
          <c:showLegendKey val="0"/>
          <c:showVal val="1"/>
          <c:showCatName val="0"/>
          <c:showSerName val="0"/>
          <c:showPercent val="0"/>
          <c:showBubbleSize val="0"/>
        </c:dLbls>
        <c:gapWidth val="219"/>
        <c:overlap val="-27"/>
        <c:axId val="693646198"/>
        <c:axId val="464510071"/>
      </c:barChart>
      <c:catAx>
        <c:axId val="6936461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510071"/>
        <c:crosses val="autoZero"/>
        <c:auto val="1"/>
        <c:lblAlgn val="ctr"/>
        <c:lblOffset val="100"/>
        <c:noMultiLvlLbl val="0"/>
      </c:catAx>
      <c:valAx>
        <c:axId val="464510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6461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7</TotalTime>
  <ScaleCrop>false</ScaleCrop>
  <LinksUpToDate>false</LinksUpToDate>
  <CharactersWithSpaces>8536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2021-09-13T02:23:00Z</cp:lastPrinted>
  <dcterms:modified xsi:type="dcterms:W3CDTF">2021-09-16T02:14:27Z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9490D4F45CC44DD4B0868B6B8BAC36A0</vt:lpwstr>
  </property>
</Properties>
</file>